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196F50" w:rsidRPr="009D1CC6" w14:paraId="7F0C9915" w14:textId="77777777" w:rsidTr="00A31A7A">
        <w:tc>
          <w:tcPr>
            <w:tcW w:w="8901" w:type="dxa"/>
          </w:tcPr>
          <w:p w14:paraId="2502FF65" w14:textId="274CAD1F" w:rsidR="00196F50" w:rsidRPr="009D1CC6" w:rsidRDefault="00196F50" w:rsidP="00196F50">
            <w:pPr>
              <w:pStyle w:val="Subtitle"/>
            </w:pPr>
            <w:r w:rsidRPr="009D1CC6">
              <w:t>NHS Equality Delivery System</w:t>
            </w:r>
            <w:r w:rsidR="00F12E22">
              <w:t xml:space="preserve"> 2022</w:t>
            </w:r>
          </w:p>
        </w:tc>
      </w:tr>
      <w:tr w:rsidR="00A31A7A" w:rsidRPr="009D1CC6" w14:paraId="0B55A410" w14:textId="77777777" w:rsidTr="00A31A7A">
        <w:tc>
          <w:tcPr>
            <w:tcW w:w="8901" w:type="dxa"/>
            <w:tcMar>
              <w:bottom w:w="0" w:type="dxa"/>
            </w:tcMar>
          </w:tcPr>
          <w:p w14:paraId="2159C134" w14:textId="1EE50A14" w:rsidR="00A31A7A" w:rsidRPr="009D1CC6" w:rsidRDefault="00196F50" w:rsidP="00E33027">
            <w:pPr>
              <w:pStyle w:val="Title"/>
            </w:pPr>
            <w:r w:rsidRPr="009D1CC6">
              <w:t>EDS Reporting Template</w:t>
            </w:r>
          </w:p>
        </w:tc>
      </w:tr>
      <w:tr w:rsidR="00A31A7A" w:rsidRPr="009D1CC6" w14:paraId="28C9EAFF" w14:textId="77777777" w:rsidTr="00A31A7A">
        <w:tc>
          <w:tcPr>
            <w:tcW w:w="8901" w:type="dxa"/>
            <w:tcMar>
              <w:bottom w:w="851" w:type="dxa"/>
            </w:tcMar>
          </w:tcPr>
          <w:p w14:paraId="6F83A7D1" w14:textId="1283EDEA" w:rsidR="00A31A7A" w:rsidRPr="009D1CC6" w:rsidRDefault="00A31A7A" w:rsidP="00E33027">
            <w:pPr>
              <w:pStyle w:val="Subtitle"/>
            </w:pPr>
          </w:p>
        </w:tc>
      </w:tr>
      <w:tr w:rsidR="00A31A7A" w:rsidRPr="009D1CC6" w14:paraId="3E5F6F1D" w14:textId="77777777" w:rsidTr="00A31A7A">
        <w:tc>
          <w:tcPr>
            <w:tcW w:w="8901" w:type="dxa"/>
          </w:tcPr>
          <w:p w14:paraId="65490C08" w14:textId="0E8B5A1C" w:rsidR="00A31A7A" w:rsidRPr="009D1CC6" w:rsidRDefault="00A31A7A" w:rsidP="00E33027">
            <w:pPr>
              <w:pStyle w:val="Date"/>
            </w:pPr>
            <w:r w:rsidRPr="009D1CC6">
              <w:t xml:space="preserve">Version </w:t>
            </w:r>
            <w:r w:rsidR="000139EF">
              <w:t>1</w:t>
            </w:r>
            <w:r w:rsidRPr="009D1CC6">
              <w:t xml:space="preserve">, </w:t>
            </w:r>
            <w:sdt>
              <w:sdtPr>
                <w:alias w:val="Date"/>
                <w:id w:val="-1613351165"/>
                <w:placeholder>
                  <w:docPart w:val="D9462B11D0614DB28C23223F5CD21B3E"/>
                </w:placeholder>
                <w:date w:fullDate="2022-08-15T00:00:00Z">
                  <w:dateFormat w:val="d MMMM yyyy"/>
                  <w:lid w:val="en-GB"/>
                  <w:storeMappedDataAs w:val="dateTime"/>
                  <w:calendar w:val="gregorian"/>
                </w:date>
              </w:sdtPr>
              <w:sdtEndPr/>
              <w:sdtContent>
                <w:r w:rsidR="004D30D3">
                  <w:t>15 August 2022</w:t>
                </w:r>
              </w:sdtContent>
            </w:sdt>
          </w:p>
        </w:tc>
      </w:tr>
    </w:tbl>
    <w:p w14:paraId="1D172B94" w14:textId="58E3CF4E" w:rsidR="008E6AE9" w:rsidRPr="009D1CC6" w:rsidRDefault="008E6AE9" w:rsidP="007542A0"/>
    <w:tbl>
      <w:tblPr>
        <w:tblStyle w:val="TableGrid"/>
        <w:tblpPr w:vertAnchor="page" w:horzAnchor="margin" w:tblpY="918"/>
        <w:tblOverlap w:val="never"/>
        <w:tblW w:w="6727" w:type="dxa"/>
        <w:tblLook w:val="04A0" w:firstRow="1" w:lastRow="0" w:firstColumn="1" w:lastColumn="0" w:noHBand="0" w:noVBand="1"/>
      </w:tblPr>
      <w:tblGrid>
        <w:gridCol w:w="6727"/>
      </w:tblGrid>
      <w:tr w:rsidR="00C94874" w:rsidRPr="009D1CC6" w14:paraId="5C626D43" w14:textId="77777777" w:rsidTr="007808F8">
        <w:trPr>
          <w:trHeight w:val="642"/>
        </w:trPr>
        <w:sdt>
          <w:sdtPr>
            <w:alias w:val="Protective Marking"/>
            <w:tag w:val="Protective Marking"/>
            <w:id w:val="-1097942897"/>
            <w:placeholder>
              <w:docPart w:val="0FEBBD3197144BD8A9B2BFE9BCED6D61"/>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2F86AB32" w14:textId="2670A226" w:rsidR="00C94874" w:rsidRPr="009D1CC6" w:rsidRDefault="004D30D3" w:rsidP="007808F8">
                <w:pPr>
                  <w:pStyle w:val="Classification"/>
                </w:pPr>
                <w:r>
                  <w:t>Classification: Official</w:t>
                </w:r>
              </w:p>
            </w:tc>
          </w:sdtContent>
        </w:sdt>
      </w:tr>
      <w:tr w:rsidR="00C94874" w:rsidRPr="009D1CC6" w14:paraId="5FFCF3DF" w14:textId="77777777" w:rsidTr="007808F8">
        <w:tc>
          <w:tcPr>
            <w:tcW w:w="8901" w:type="dxa"/>
          </w:tcPr>
          <w:p w14:paraId="470683D9" w14:textId="41190EFC" w:rsidR="00C94874" w:rsidRPr="009D1CC6" w:rsidRDefault="00C94874" w:rsidP="007808F8">
            <w:pPr>
              <w:pStyle w:val="Classification"/>
            </w:pPr>
            <w:r w:rsidRPr="009D1CC6">
              <w:t xml:space="preserve">Publication approval reference: </w:t>
            </w:r>
            <w:r w:rsidR="008842BC">
              <w:t>PAR1262</w:t>
            </w:r>
          </w:p>
        </w:tc>
      </w:tr>
    </w:tbl>
    <w:p w14:paraId="3694C4AB" w14:textId="77777777" w:rsidR="00C94874" w:rsidRPr="009D1CC6" w:rsidRDefault="00C94874" w:rsidP="008E6AE9"/>
    <w:p w14:paraId="42BB8F1A" w14:textId="77777777" w:rsidR="001241F4" w:rsidRPr="009D1CC6" w:rsidRDefault="001241F4" w:rsidP="00991A82">
      <w:pPr>
        <w:sectPr w:rsidR="001241F4" w:rsidRPr="009D1CC6" w:rsidSect="0021516C">
          <w:headerReference w:type="default" r:id="rId11"/>
          <w:pgSz w:w="11906" w:h="16838" w:code="9"/>
          <w:pgMar w:top="5103" w:right="1928" w:bottom="1134" w:left="1077" w:header="709" w:footer="709" w:gutter="0"/>
          <w:cols w:space="708"/>
          <w:docGrid w:linePitch="360"/>
        </w:sectPr>
      </w:pPr>
    </w:p>
    <w:p w14:paraId="009D074D" w14:textId="3EDC2F80" w:rsidR="001241F4" w:rsidRPr="009D1CC6" w:rsidRDefault="00510CDF" w:rsidP="00510CDF">
      <w:pPr>
        <w:pStyle w:val="TOCHeading"/>
      </w:pPr>
      <w:r w:rsidRPr="009D1CC6">
        <w:lastRenderedPageBreak/>
        <w:t>Contents</w:t>
      </w:r>
    </w:p>
    <w:p w14:paraId="34ABAE91" w14:textId="3069A04B" w:rsidR="009D1CC6" w:rsidRPr="009D1CC6" w:rsidRDefault="00510CDF">
      <w:pPr>
        <w:pStyle w:val="TOC2"/>
        <w:rPr>
          <w:rFonts w:asciiTheme="minorHAnsi" w:eastAsiaTheme="minorEastAsia" w:hAnsiTheme="minorHAnsi"/>
          <w:color w:val="auto"/>
          <w:sz w:val="22"/>
          <w:szCs w:val="22"/>
          <w:lang w:eastAsia="en-GB"/>
        </w:rPr>
      </w:pPr>
      <w:r w:rsidRPr="009D1CC6">
        <w:fldChar w:fldCharType="begin"/>
      </w:r>
      <w:r w:rsidRPr="009D1CC6">
        <w:instrText xml:space="preserve"> toc \h \w \t "Heading 1,1,Heading 1 Numbered,1,Heading 2,2,Heading 2 Numbered,2" </w:instrText>
      </w:r>
      <w:r w:rsidRPr="009D1CC6">
        <w:fldChar w:fldCharType="separate"/>
      </w:r>
      <w:hyperlink w:anchor="_Toc94529745" w:history="1">
        <w:r w:rsidR="009D1CC6" w:rsidRPr="009D1CC6">
          <w:rPr>
            <w:rStyle w:val="Hyperlink"/>
          </w:rPr>
          <w:t>Equality Delivery System for the NHS</w:t>
        </w:r>
        <w:r w:rsidR="009D1CC6" w:rsidRPr="009D1CC6">
          <w:tab/>
        </w:r>
        <w:r w:rsidR="009D1CC6" w:rsidRPr="009D1CC6">
          <w:fldChar w:fldCharType="begin"/>
        </w:r>
        <w:r w:rsidR="009D1CC6" w:rsidRPr="009D1CC6">
          <w:instrText xml:space="preserve"> PAGEREF _Toc94529745 \h </w:instrText>
        </w:r>
        <w:r w:rsidR="009D1CC6" w:rsidRPr="009D1CC6">
          <w:fldChar w:fldCharType="separate"/>
        </w:r>
        <w:r w:rsidR="009D1CC6" w:rsidRPr="009D1CC6">
          <w:t>2</w:t>
        </w:r>
        <w:r w:rsidR="009D1CC6" w:rsidRPr="009D1CC6">
          <w:fldChar w:fldCharType="end"/>
        </w:r>
      </w:hyperlink>
    </w:p>
    <w:p w14:paraId="20171E0A" w14:textId="3954BEAD" w:rsidR="00510CDF" w:rsidRPr="009D1CC6" w:rsidRDefault="00510CDF" w:rsidP="00510CDF">
      <w:r w:rsidRPr="009D1CC6">
        <w:fldChar w:fldCharType="end"/>
      </w:r>
    </w:p>
    <w:p w14:paraId="7B56753A" w14:textId="77777777" w:rsidR="00510CDF" w:rsidRPr="009D1CC6" w:rsidRDefault="00510CDF" w:rsidP="00991A82"/>
    <w:p w14:paraId="10BBEB83" w14:textId="77777777" w:rsidR="00510CDF" w:rsidRPr="009D1CC6" w:rsidRDefault="00510CDF" w:rsidP="00991A82">
      <w:pPr>
        <w:sectPr w:rsidR="00510CDF" w:rsidRPr="009D1CC6" w:rsidSect="00B378E1">
          <w:headerReference w:type="default" r:id="rId12"/>
          <w:footerReference w:type="default" r:id="rId13"/>
          <w:pgSz w:w="11906" w:h="16838" w:code="9"/>
          <w:pgMar w:top="5273" w:right="1928" w:bottom="1134" w:left="1077" w:header="624" w:footer="510" w:gutter="0"/>
          <w:pgNumType w:start="1"/>
          <w:cols w:space="708"/>
          <w:docGrid w:linePitch="360"/>
        </w:sectPr>
      </w:pPr>
    </w:p>
    <w:p w14:paraId="33B68E4C" w14:textId="77777777" w:rsidR="00BB480F" w:rsidRPr="009D1CC6" w:rsidRDefault="00BB480F" w:rsidP="003674C7">
      <w:pPr>
        <w:pStyle w:val="Heading2"/>
      </w:pPr>
      <w:bookmarkStart w:id="0" w:name="_Toc94529745"/>
      <w:r w:rsidRPr="009D1CC6">
        <w:lastRenderedPageBreak/>
        <w:t>Equality Delivery System for the NHS</w:t>
      </w:r>
      <w:bookmarkEnd w:id="0"/>
    </w:p>
    <w:p w14:paraId="7D7DD1DF" w14:textId="16EE41B0" w:rsidR="00BB480F" w:rsidRPr="009D1CC6" w:rsidRDefault="009D1CC6" w:rsidP="00BB480F">
      <w:pPr>
        <w:rPr>
          <w:rFonts w:cs="Arial"/>
          <w:b/>
          <w:i/>
        </w:rPr>
      </w:pPr>
      <w:r w:rsidRPr="009D1CC6">
        <w:rPr>
          <w:rFonts w:cs="Arial"/>
          <w:b/>
          <w:i/>
        </w:rPr>
        <w:t xml:space="preserve">The </w:t>
      </w:r>
      <w:r w:rsidR="00BB480F" w:rsidRPr="009D1CC6">
        <w:rPr>
          <w:rFonts w:cs="Arial"/>
          <w:b/>
          <w:i/>
        </w:rPr>
        <w:t>EDS Report</w:t>
      </w:r>
      <w:r w:rsidRPr="009D1CC6">
        <w:rPr>
          <w:rFonts w:cs="Arial"/>
          <w:b/>
          <w:i/>
        </w:rPr>
        <w:t>ing Template</w:t>
      </w:r>
    </w:p>
    <w:p w14:paraId="5EE9572A" w14:textId="77777777" w:rsidR="00BB480F" w:rsidRPr="009D1CC6" w:rsidRDefault="00BB480F" w:rsidP="00BB480F">
      <w:pPr>
        <w:rPr>
          <w:rFonts w:cs="Arial"/>
        </w:rPr>
      </w:pPr>
    </w:p>
    <w:p w14:paraId="38C1C98A" w14:textId="40B29499" w:rsidR="00BB480F" w:rsidRPr="009D1CC6" w:rsidRDefault="00BB480F" w:rsidP="009D1CC6">
      <w:pPr>
        <w:pStyle w:val="BodyText"/>
      </w:pPr>
      <w:r w:rsidRPr="009D1CC6">
        <w:t>Implementation of the Equality Delivery System (EDS) is a requirement on both NHS commissioners and NHS providers. Organisations are encouraged to follow the implementation of EDS in accordance EDS guidance documents. The documents can be found at</w:t>
      </w:r>
      <w:r w:rsidR="00394044">
        <w:t xml:space="preserve">: </w:t>
      </w:r>
      <w:hyperlink r:id="rId14" w:history="1">
        <w:r w:rsidR="00A6791B" w:rsidRPr="00565EEA">
          <w:rPr>
            <w:rStyle w:val="Hyperlink"/>
          </w:rPr>
          <w:t>www.england.nhs.uk/about/equality/equality-hub/patient-equalities-programme/equality-frameworks-and-information-standards/eds/</w:t>
        </w:r>
      </w:hyperlink>
      <w:r w:rsidR="00394044">
        <w:t xml:space="preserve"> </w:t>
      </w:r>
      <w:r w:rsidR="00394044">
        <w:rPr>
          <w:i/>
          <w:color w:val="FF0000"/>
        </w:rPr>
        <w:t xml:space="preserve"> </w:t>
      </w:r>
    </w:p>
    <w:p w14:paraId="0715F3BB" w14:textId="211F9A00" w:rsidR="00BB480F" w:rsidRPr="009D1CC6" w:rsidRDefault="00BB480F" w:rsidP="009D1CC6">
      <w:pPr>
        <w:pStyle w:val="BodyText"/>
      </w:pPr>
      <w:r w:rsidRPr="009D1CC6">
        <w:t xml:space="preserve">The EDS is an </w:t>
      </w:r>
      <w:r w:rsidRPr="009D1CC6">
        <w:rPr>
          <w:bCs/>
        </w:rPr>
        <w:t>improvement tool for patients, staff and leaders</w:t>
      </w:r>
      <w:r w:rsidRPr="009D1CC6">
        <w:rPr>
          <w:b/>
        </w:rPr>
        <w:t xml:space="preserve"> </w:t>
      </w:r>
      <w:r w:rsidRPr="009D1CC6">
        <w:rPr>
          <w:bCs/>
        </w:rPr>
        <w:t>of the NHS.</w:t>
      </w:r>
      <w:r w:rsidRPr="009D1CC6">
        <w:rPr>
          <w:b/>
        </w:rPr>
        <w:t xml:space="preserve"> </w:t>
      </w:r>
      <w:r w:rsidRPr="009D1CC6">
        <w:t>It supports NHS organisations in England - in active conversations with patients, public, staff, staff networks, community groups and trade unions - to review and develop their approach in addressing health inequalities through three domains</w:t>
      </w:r>
      <w:r w:rsidR="00944199">
        <w:t>:</w:t>
      </w:r>
      <w:r w:rsidRPr="009D1CC6">
        <w:t xml:space="preserve"> </w:t>
      </w:r>
      <w:r w:rsidR="009D1CC6" w:rsidRPr="009D1CC6">
        <w:t>S</w:t>
      </w:r>
      <w:r w:rsidRPr="009D1CC6">
        <w:t xml:space="preserve">ervices, </w:t>
      </w:r>
      <w:r w:rsidR="009D1CC6" w:rsidRPr="009D1CC6">
        <w:t>W</w:t>
      </w:r>
      <w:r w:rsidRPr="009D1CC6">
        <w:t xml:space="preserve">orkforce and </w:t>
      </w:r>
      <w:r w:rsidR="009D1CC6" w:rsidRPr="009D1CC6">
        <w:t>L</w:t>
      </w:r>
      <w:r w:rsidRPr="009D1CC6">
        <w:t>eadership. It is driven by data, evidence, engagement and insight.</w:t>
      </w:r>
    </w:p>
    <w:p w14:paraId="1599127A" w14:textId="22254C83" w:rsidR="00BB480F" w:rsidRPr="009D1CC6" w:rsidRDefault="00BB480F" w:rsidP="009D1CC6">
      <w:pPr>
        <w:pStyle w:val="BodyText"/>
      </w:pPr>
      <w:r w:rsidRPr="009D1CC6">
        <w:t>The EDS Report</w:t>
      </w:r>
      <w:r w:rsidRPr="009D1CC6">
        <w:rPr>
          <w:i/>
        </w:rPr>
        <w:t xml:space="preserve"> </w:t>
      </w:r>
      <w:r w:rsidRPr="009D1CC6">
        <w:t xml:space="preserve">is a template which is designed to give an overview of the organisation’s most recent EDS implementation and grade. Once completed, the report should be submitted via </w:t>
      </w:r>
      <w:hyperlink r:id="rId15" w:history="1">
        <w:r w:rsidR="003E1DF4" w:rsidRPr="00565EEA">
          <w:rPr>
            <w:rStyle w:val="Hyperlink"/>
          </w:rPr>
          <w:t>england.eandhi@nhs.net</w:t>
        </w:r>
      </w:hyperlink>
      <w:r w:rsidR="003E1DF4">
        <w:rPr>
          <w:color w:val="FF0000"/>
        </w:rPr>
        <w:t xml:space="preserve"> </w:t>
      </w:r>
      <w:r w:rsidRPr="009D1CC6">
        <w:t xml:space="preserve">and published on the organisation’s website. </w:t>
      </w:r>
    </w:p>
    <w:p w14:paraId="2C668067" w14:textId="77777777" w:rsidR="00BB480F" w:rsidRPr="009D1CC6" w:rsidRDefault="00BB480F" w:rsidP="00BB480F">
      <w:pPr>
        <w:rPr>
          <w:rFonts w:cs="Arial"/>
        </w:rPr>
      </w:pPr>
      <w:r w:rsidRPr="009D1CC6">
        <w:rPr>
          <w:rFonts w:cs="Arial"/>
        </w:rPr>
        <w:br w:type="page"/>
      </w:r>
    </w:p>
    <w:tbl>
      <w:tblPr>
        <w:tblStyle w:val="TableGrid"/>
        <w:tblpPr w:leftFromText="180" w:rightFromText="180" w:vertAnchor="page" w:horzAnchor="margin" w:tblpY="2009"/>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73"/>
        <w:gridCol w:w="1457"/>
        <w:gridCol w:w="5122"/>
        <w:gridCol w:w="969"/>
        <w:gridCol w:w="1523"/>
        <w:gridCol w:w="2252"/>
      </w:tblGrid>
      <w:tr w:rsidR="00BB480F" w:rsidRPr="009D1CC6" w14:paraId="0222EB8D" w14:textId="77777777" w:rsidTr="003B6D54">
        <w:tc>
          <w:tcPr>
            <w:tcW w:w="3823" w:type="dxa"/>
            <w:gridSpan w:val="2"/>
            <w:vMerge w:val="restart"/>
            <w:shd w:val="clear" w:color="auto" w:fill="BDDEFF" w:themeFill="text2" w:themeFillTint="33"/>
          </w:tcPr>
          <w:p w14:paraId="7358BE17" w14:textId="77777777" w:rsidR="00BB480F" w:rsidRPr="003B6D54" w:rsidRDefault="00BB480F" w:rsidP="00E33027">
            <w:pPr>
              <w:rPr>
                <w:rFonts w:cs="Arial"/>
                <w:b/>
                <w:color w:val="auto"/>
              </w:rPr>
            </w:pPr>
            <w:r w:rsidRPr="003B6D54">
              <w:rPr>
                <w:rFonts w:cs="Arial"/>
                <w:b/>
                <w:color w:val="auto"/>
              </w:rPr>
              <w:lastRenderedPageBreak/>
              <w:t xml:space="preserve">Name of Organisation </w:t>
            </w:r>
          </w:p>
        </w:tc>
        <w:tc>
          <w:tcPr>
            <w:tcW w:w="5249" w:type="dxa"/>
            <w:vMerge w:val="restart"/>
          </w:tcPr>
          <w:p w14:paraId="2E816DEB" w14:textId="0BE56DB1" w:rsidR="00BB480F" w:rsidRPr="009D1CC6" w:rsidRDefault="00EB5156" w:rsidP="006721A6">
            <w:pPr>
              <w:pStyle w:val="TableTitle"/>
            </w:pPr>
            <w:r>
              <w:t>University Hospitals of Northamptonshire – Kettering General Hospital and Northampton General Hospital</w:t>
            </w:r>
          </w:p>
        </w:tc>
        <w:tc>
          <w:tcPr>
            <w:tcW w:w="4876" w:type="dxa"/>
            <w:gridSpan w:val="3"/>
            <w:shd w:val="clear" w:color="auto" w:fill="BDDEFF" w:themeFill="text2" w:themeFillTint="33"/>
          </w:tcPr>
          <w:p w14:paraId="3662AA10" w14:textId="77777777" w:rsidR="00BB480F" w:rsidRPr="003B6D54" w:rsidRDefault="00BB480F" w:rsidP="00E33027">
            <w:pPr>
              <w:rPr>
                <w:rFonts w:cs="Arial"/>
                <w:b/>
                <w:color w:val="auto"/>
              </w:rPr>
            </w:pPr>
            <w:r w:rsidRPr="003B6D54">
              <w:rPr>
                <w:rFonts w:cs="Arial"/>
                <w:b/>
                <w:color w:val="auto"/>
              </w:rPr>
              <w:t>Organisation Board Sponsor/Lead</w:t>
            </w:r>
          </w:p>
        </w:tc>
      </w:tr>
      <w:tr w:rsidR="00BB480F" w:rsidRPr="009D1CC6" w14:paraId="050D237C" w14:textId="77777777" w:rsidTr="003B6D54">
        <w:trPr>
          <w:trHeight w:val="276"/>
        </w:trPr>
        <w:tc>
          <w:tcPr>
            <w:tcW w:w="3823" w:type="dxa"/>
            <w:gridSpan w:val="2"/>
            <w:vMerge/>
            <w:shd w:val="clear" w:color="auto" w:fill="BDDEFF" w:themeFill="text2" w:themeFillTint="33"/>
          </w:tcPr>
          <w:p w14:paraId="10B33B7F" w14:textId="77777777" w:rsidR="00BB480F" w:rsidRPr="003B6D54" w:rsidRDefault="00BB480F" w:rsidP="00E33027">
            <w:pPr>
              <w:rPr>
                <w:rFonts w:cs="Arial"/>
                <w:b/>
                <w:color w:val="auto"/>
              </w:rPr>
            </w:pPr>
          </w:p>
        </w:tc>
        <w:tc>
          <w:tcPr>
            <w:tcW w:w="5249" w:type="dxa"/>
            <w:vMerge/>
          </w:tcPr>
          <w:p w14:paraId="46FE1E40" w14:textId="77777777" w:rsidR="00BB480F" w:rsidRPr="009D1CC6" w:rsidRDefault="00BB480F" w:rsidP="00E33027">
            <w:pPr>
              <w:rPr>
                <w:rFonts w:cs="Arial"/>
              </w:rPr>
            </w:pPr>
          </w:p>
        </w:tc>
        <w:tc>
          <w:tcPr>
            <w:tcW w:w="4876" w:type="dxa"/>
            <w:gridSpan w:val="3"/>
            <w:vMerge w:val="restart"/>
          </w:tcPr>
          <w:p w14:paraId="2DF00172" w14:textId="007C8F4D" w:rsidR="003B7553" w:rsidRPr="009D1CC6" w:rsidRDefault="00A47A07" w:rsidP="003B7553">
            <w:pPr>
              <w:pStyle w:val="TableText"/>
            </w:pPr>
            <w:r>
              <w:t>Paula Kirkpatrick</w:t>
            </w:r>
          </w:p>
          <w:p w14:paraId="1DDB670D" w14:textId="6AC50627" w:rsidR="00EB5156" w:rsidRPr="009D1CC6" w:rsidRDefault="00EB5156" w:rsidP="006721A6">
            <w:pPr>
              <w:pStyle w:val="TableText"/>
            </w:pPr>
          </w:p>
        </w:tc>
      </w:tr>
      <w:tr w:rsidR="00BB480F" w:rsidRPr="009D1CC6" w14:paraId="48381A64" w14:textId="77777777" w:rsidTr="003B6D54">
        <w:tc>
          <w:tcPr>
            <w:tcW w:w="2324" w:type="dxa"/>
            <w:shd w:val="clear" w:color="auto" w:fill="BDDEFF" w:themeFill="text2" w:themeFillTint="33"/>
          </w:tcPr>
          <w:p w14:paraId="641703A4" w14:textId="77777777" w:rsidR="00BB480F" w:rsidRPr="003B6D54" w:rsidRDefault="00BB480F" w:rsidP="00E33027">
            <w:pPr>
              <w:rPr>
                <w:rFonts w:cs="Arial"/>
                <w:b/>
                <w:color w:val="auto"/>
              </w:rPr>
            </w:pPr>
          </w:p>
        </w:tc>
        <w:tc>
          <w:tcPr>
            <w:tcW w:w="1499" w:type="dxa"/>
            <w:shd w:val="clear" w:color="auto" w:fill="BDDEFF" w:themeFill="text2" w:themeFillTint="33"/>
          </w:tcPr>
          <w:p w14:paraId="61F3A23D" w14:textId="77777777" w:rsidR="00BB480F" w:rsidRPr="003B6D54" w:rsidRDefault="00BB480F" w:rsidP="00E33027">
            <w:pPr>
              <w:rPr>
                <w:rFonts w:cs="Arial"/>
                <w:b/>
                <w:color w:val="auto"/>
              </w:rPr>
            </w:pPr>
          </w:p>
        </w:tc>
        <w:tc>
          <w:tcPr>
            <w:tcW w:w="5249" w:type="dxa"/>
            <w:shd w:val="clear" w:color="auto" w:fill="BDDEFF" w:themeFill="text2" w:themeFillTint="33"/>
          </w:tcPr>
          <w:p w14:paraId="5AA3DB12" w14:textId="77777777" w:rsidR="00BB480F" w:rsidRPr="009D1CC6" w:rsidRDefault="00BB480F" w:rsidP="00E33027">
            <w:pPr>
              <w:rPr>
                <w:rFonts w:cs="Arial"/>
              </w:rPr>
            </w:pPr>
          </w:p>
        </w:tc>
        <w:tc>
          <w:tcPr>
            <w:tcW w:w="4876" w:type="dxa"/>
            <w:gridSpan w:val="3"/>
            <w:vMerge/>
          </w:tcPr>
          <w:p w14:paraId="5B18245E" w14:textId="77777777" w:rsidR="00BB480F" w:rsidRPr="009D1CC6" w:rsidRDefault="00BB480F" w:rsidP="00E33027">
            <w:pPr>
              <w:rPr>
                <w:rFonts w:cs="Arial"/>
              </w:rPr>
            </w:pPr>
          </w:p>
        </w:tc>
      </w:tr>
      <w:tr w:rsidR="00BB480F" w:rsidRPr="009D1CC6" w14:paraId="13A5E695" w14:textId="77777777" w:rsidTr="003B6D54">
        <w:trPr>
          <w:trHeight w:val="276"/>
        </w:trPr>
        <w:tc>
          <w:tcPr>
            <w:tcW w:w="3823" w:type="dxa"/>
            <w:gridSpan w:val="2"/>
            <w:vMerge w:val="restart"/>
            <w:shd w:val="clear" w:color="auto" w:fill="BDDEFF" w:themeFill="text2" w:themeFillTint="33"/>
          </w:tcPr>
          <w:p w14:paraId="2B594BEA" w14:textId="77777777" w:rsidR="00BB480F" w:rsidRPr="003B6D54" w:rsidRDefault="00BB480F" w:rsidP="00E33027">
            <w:pPr>
              <w:rPr>
                <w:rFonts w:cs="Arial"/>
                <w:b/>
                <w:color w:val="auto"/>
              </w:rPr>
            </w:pPr>
            <w:r w:rsidRPr="003B6D54">
              <w:rPr>
                <w:rFonts w:cs="Arial"/>
                <w:b/>
                <w:color w:val="auto"/>
              </w:rPr>
              <w:t>Name of Integrated Care System</w:t>
            </w:r>
          </w:p>
        </w:tc>
        <w:tc>
          <w:tcPr>
            <w:tcW w:w="5249" w:type="dxa"/>
            <w:vMerge w:val="restart"/>
          </w:tcPr>
          <w:p w14:paraId="1BC224D4" w14:textId="62B58035" w:rsidR="00BB480F" w:rsidRPr="009D1CC6" w:rsidRDefault="00EB5156" w:rsidP="006721A6">
            <w:pPr>
              <w:pStyle w:val="TableText"/>
            </w:pPr>
            <w:r>
              <w:t>Integrated Care Northamptonshire</w:t>
            </w:r>
          </w:p>
        </w:tc>
        <w:tc>
          <w:tcPr>
            <w:tcW w:w="4876" w:type="dxa"/>
            <w:gridSpan w:val="3"/>
            <w:vMerge/>
          </w:tcPr>
          <w:p w14:paraId="020BA42C" w14:textId="77777777" w:rsidR="00BB480F" w:rsidRPr="009D1CC6" w:rsidRDefault="00BB480F" w:rsidP="00E33027">
            <w:pPr>
              <w:rPr>
                <w:rFonts w:cs="Arial"/>
              </w:rPr>
            </w:pPr>
          </w:p>
        </w:tc>
      </w:tr>
      <w:tr w:rsidR="00BB480F" w:rsidRPr="009D1CC6" w14:paraId="1C794FBA" w14:textId="77777777" w:rsidTr="003B6D54">
        <w:tc>
          <w:tcPr>
            <w:tcW w:w="3823" w:type="dxa"/>
            <w:gridSpan w:val="2"/>
            <w:vMerge/>
            <w:shd w:val="clear" w:color="auto" w:fill="BDDEFF" w:themeFill="text2" w:themeFillTint="33"/>
          </w:tcPr>
          <w:p w14:paraId="5E8B9741" w14:textId="77777777" w:rsidR="00BB480F" w:rsidRPr="009D1CC6" w:rsidRDefault="00BB480F" w:rsidP="00E33027">
            <w:pPr>
              <w:rPr>
                <w:rFonts w:cs="Arial"/>
              </w:rPr>
            </w:pPr>
          </w:p>
        </w:tc>
        <w:tc>
          <w:tcPr>
            <w:tcW w:w="5249" w:type="dxa"/>
            <w:vMerge/>
          </w:tcPr>
          <w:p w14:paraId="2C368124" w14:textId="77777777" w:rsidR="00BB480F" w:rsidRPr="009D1CC6" w:rsidRDefault="00BB480F" w:rsidP="00E33027">
            <w:pPr>
              <w:rPr>
                <w:rFonts w:cs="Arial"/>
              </w:rPr>
            </w:pPr>
          </w:p>
        </w:tc>
        <w:tc>
          <w:tcPr>
            <w:tcW w:w="988" w:type="dxa"/>
            <w:shd w:val="clear" w:color="auto" w:fill="BDDEFF" w:themeFill="text2" w:themeFillTint="33"/>
          </w:tcPr>
          <w:p w14:paraId="42050477" w14:textId="77777777" w:rsidR="00BB480F" w:rsidRPr="009D1CC6" w:rsidRDefault="00BB480F" w:rsidP="00E33027">
            <w:pPr>
              <w:rPr>
                <w:rFonts w:cs="Arial"/>
              </w:rPr>
            </w:pPr>
          </w:p>
        </w:tc>
        <w:tc>
          <w:tcPr>
            <w:tcW w:w="1563" w:type="dxa"/>
            <w:shd w:val="clear" w:color="auto" w:fill="BDDEFF" w:themeFill="text2" w:themeFillTint="33"/>
          </w:tcPr>
          <w:p w14:paraId="55892085" w14:textId="77777777" w:rsidR="00BB480F" w:rsidRPr="009D1CC6" w:rsidRDefault="00BB480F" w:rsidP="00E33027">
            <w:pPr>
              <w:rPr>
                <w:rFonts w:cs="Arial"/>
              </w:rPr>
            </w:pPr>
          </w:p>
        </w:tc>
        <w:tc>
          <w:tcPr>
            <w:tcW w:w="2325" w:type="dxa"/>
            <w:shd w:val="clear" w:color="auto" w:fill="BDDEFF" w:themeFill="text2" w:themeFillTint="33"/>
          </w:tcPr>
          <w:p w14:paraId="08B17F9D" w14:textId="77777777" w:rsidR="00BB480F" w:rsidRPr="009D1CC6" w:rsidRDefault="00BB480F" w:rsidP="00E33027">
            <w:pPr>
              <w:rPr>
                <w:rFonts w:cs="Arial"/>
              </w:rPr>
            </w:pPr>
          </w:p>
        </w:tc>
      </w:tr>
    </w:tbl>
    <w:p w14:paraId="74F4540E" w14:textId="77777777" w:rsidR="00BB480F" w:rsidRPr="009D1CC6" w:rsidRDefault="00BB480F" w:rsidP="003B6D54">
      <w:pPr>
        <w:pStyle w:val="Heading2"/>
      </w:pPr>
      <w:r w:rsidRPr="009D1CC6">
        <w:t>NHS Equality Delivery System (EDS)</w:t>
      </w:r>
    </w:p>
    <w:p w14:paraId="5C4993D9"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87"/>
        <w:gridCol w:w="2258"/>
        <w:gridCol w:w="2243"/>
        <w:gridCol w:w="2299"/>
        <w:gridCol w:w="4509"/>
      </w:tblGrid>
      <w:tr w:rsidR="00BB480F" w:rsidRPr="009D1CC6" w14:paraId="1518CDD3" w14:textId="77777777" w:rsidTr="006721A6">
        <w:tc>
          <w:tcPr>
            <w:tcW w:w="2324" w:type="dxa"/>
            <w:shd w:val="clear" w:color="auto" w:fill="BDDEFF" w:themeFill="text2" w:themeFillTint="33"/>
          </w:tcPr>
          <w:p w14:paraId="0DB9C1EE" w14:textId="77777777" w:rsidR="00BB480F" w:rsidRPr="009D1CC6" w:rsidRDefault="00BB480F" w:rsidP="00E33027">
            <w:pPr>
              <w:rPr>
                <w:rFonts w:cs="Arial"/>
                <w:b/>
              </w:rPr>
            </w:pPr>
            <w:r w:rsidRPr="003B6D54">
              <w:rPr>
                <w:rFonts w:cs="Arial"/>
                <w:b/>
                <w:color w:val="auto"/>
              </w:rPr>
              <w:t xml:space="preserve">EDS Lead </w:t>
            </w:r>
          </w:p>
        </w:tc>
        <w:tc>
          <w:tcPr>
            <w:tcW w:w="4649" w:type="dxa"/>
            <w:gridSpan w:val="2"/>
          </w:tcPr>
          <w:p w14:paraId="2A516FA0" w14:textId="23779008" w:rsidR="00BB480F" w:rsidRPr="009D1CC6" w:rsidRDefault="00EB5156" w:rsidP="006721A6">
            <w:pPr>
              <w:pStyle w:val="TableText"/>
            </w:pPr>
            <w:r>
              <w:t>Matt Asbrey</w:t>
            </w:r>
            <w:r w:rsidR="003B7553">
              <w:t xml:space="preserve"> &amp; Farhana </w:t>
            </w:r>
            <w:proofErr w:type="spellStart"/>
            <w:r w:rsidR="003B7553">
              <w:t>Ahmedabadi-Patel</w:t>
            </w:r>
            <w:proofErr w:type="spellEnd"/>
          </w:p>
        </w:tc>
        <w:tc>
          <w:tcPr>
            <w:tcW w:w="6975" w:type="dxa"/>
            <w:gridSpan w:val="2"/>
            <w:shd w:val="clear" w:color="auto" w:fill="BDDEFF" w:themeFill="text2" w:themeFillTint="33"/>
          </w:tcPr>
          <w:p w14:paraId="11340E64" w14:textId="77777777" w:rsidR="00BB480F" w:rsidRPr="006721A6" w:rsidRDefault="00BB480F" w:rsidP="00E33027">
            <w:pPr>
              <w:rPr>
                <w:rFonts w:cs="Arial"/>
                <w:b/>
                <w:color w:val="auto"/>
              </w:rPr>
            </w:pPr>
            <w:r w:rsidRPr="006721A6">
              <w:rPr>
                <w:rFonts w:cs="Arial"/>
                <w:b/>
                <w:color w:val="auto"/>
              </w:rPr>
              <w:t>At what level has this been completed?</w:t>
            </w:r>
          </w:p>
        </w:tc>
      </w:tr>
      <w:tr w:rsidR="00BB480F" w:rsidRPr="009D1CC6" w14:paraId="39A809E4" w14:textId="77777777" w:rsidTr="006721A6">
        <w:tc>
          <w:tcPr>
            <w:tcW w:w="2324" w:type="dxa"/>
            <w:shd w:val="clear" w:color="auto" w:fill="BDDEFF" w:themeFill="text2" w:themeFillTint="33"/>
          </w:tcPr>
          <w:p w14:paraId="739CD3AB" w14:textId="77777777" w:rsidR="00BB480F" w:rsidRPr="009D1CC6" w:rsidRDefault="00BB480F" w:rsidP="00E33027">
            <w:pPr>
              <w:rPr>
                <w:rFonts w:cs="Arial"/>
              </w:rPr>
            </w:pPr>
          </w:p>
        </w:tc>
        <w:tc>
          <w:tcPr>
            <w:tcW w:w="2324" w:type="dxa"/>
            <w:shd w:val="clear" w:color="auto" w:fill="BDDEFF" w:themeFill="text2" w:themeFillTint="33"/>
          </w:tcPr>
          <w:p w14:paraId="627133EA" w14:textId="77777777" w:rsidR="00BB480F" w:rsidRPr="009D1CC6" w:rsidRDefault="00BB480F" w:rsidP="00E33027">
            <w:pPr>
              <w:rPr>
                <w:rFonts w:cs="Arial"/>
              </w:rPr>
            </w:pPr>
          </w:p>
        </w:tc>
        <w:tc>
          <w:tcPr>
            <w:tcW w:w="2325" w:type="dxa"/>
            <w:shd w:val="clear" w:color="auto" w:fill="BDDEFF" w:themeFill="text2" w:themeFillTint="33"/>
          </w:tcPr>
          <w:p w14:paraId="2BE18E52" w14:textId="77777777" w:rsidR="00BB480F" w:rsidRPr="009D1CC6" w:rsidRDefault="00BB480F" w:rsidP="00E33027">
            <w:pPr>
              <w:rPr>
                <w:rFonts w:cs="Arial"/>
              </w:rPr>
            </w:pPr>
          </w:p>
        </w:tc>
        <w:tc>
          <w:tcPr>
            <w:tcW w:w="2325" w:type="dxa"/>
            <w:shd w:val="clear" w:color="auto" w:fill="BDDEFF" w:themeFill="text2" w:themeFillTint="33"/>
          </w:tcPr>
          <w:p w14:paraId="071DB25D" w14:textId="77777777" w:rsidR="00BB480F" w:rsidRPr="009D1CC6" w:rsidRDefault="00BB480F" w:rsidP="00E33027">
            <w:pPr>
              <w:rPr>
                <w:rFonts w:cs="Arial"/>
              </w:rPr>
            </w:pPr>
          </w:p>
        </w:tc>
        <w:tc>
          <w:tcPr>
            <w:tcW w:w="4650" w:type="dxa"/>
            <w:shd w:val="clear" w:color="auto" w:fill="BDDEFF" w:themeFill="text2" w:themeFillTint="33"/>
          </w:tcPr>
          <w:p w14:paraId="195053B5" w14:textId="77777777" w:rsidR="00BB480F" w:rsidRPr="009D1CC6" w:rsidRDefault="00BB480F" w:rsidP="00E33027">
            <w:pPr>
              <w:jc w:val="center"/>
              <w:rPr>
                <w:rFonts w:cs="Arial"/>
                <w:b/>
                <w:color w:val="FFFFFF" w:themeColor="background1"/>
              </w:rPr>
            </w:pPr>
            <w:r w:rsidRPr="006721A6">
              <w:rPr>
                <w:rFonts w:cs="Arial"/>
                <w:b/>
                <w:color w:val="auto"/>
              </w:rPr>
              <w:t>*List organisations</w:t>
            </w:r>
          </w:p>
        </w:tc>
      </w:tr>
      <w:tr w:rsidR="00BB480F" w:rsidRPr="009D1CC6" w14:paraId="20C844BA" w14:textId="77777777" w:rsidTr="006721A6">
        <w:trPr>
          <w:trHeight w:val="510"/>
        </w:trPr>
        <w:tc>
          <w:tcPr>
            <w:tcW w:w="2324" w:type="dxa"/>
            <w:shd w:val="clear" w:color="auto" w:fill="BDDEFF" w:themeFill="text2" w:themeFillTint="33"/>
          </w:tcPr>
          <w:p w14:paraId="7E904013" w14:textId="77777777" w:rsidR="00BB480F" w:rsidRPr="009D1CC6" w:rsidRDefault="00BB480F" w:rsidP="00E33027">
            <w:pPr>
              <w:rPr>
                <w:rFonts w:cs="Arial"/>
                <w:b/>
                <w:color w:val="FFFFFF" w:themeColor="background1"/>
              </w:rPr>
            </w:pPr>
            <w:r w:rsidRPr="003B6D54">
              <w:rPr>
                <w:rFonts w:cs="Arial"/>
                <w:b/>
                <w:color w:val="auto"/>
              </w:rPr>
              <w:t>EDS engagement date(s)</w:t>
            </w:r>
          </w:p>
        </w:tc>
        <w:tc>
          <w:tcPr>
            <w:tcW w:w="4649" w:type="dxa"/>
            <w:gridSpan w:val="2"/>
          </w:tcPr>
          <w:p w14:paraId="7EF70758" w14:textId="6A4BF5B6" w:rsidR="00BB480F" w:rsidRPr="009D1CC6" w:rsidRDefault="00EB5156" w:rsidP="006721A6">
            <w:pPr>
              <w:pStyle w:val="TableText"/>
            </w:pPr>
            <w:r>
              <w:t>March – June 2023</w:t>
            </w:r>
          </w:p>
        </w:tc>
        <w:tc>
          <w:tcPr>
            <w:tcW w:w="2325" w:type="dxa"/>
            <w:shd w:val="clear" w:color="auto" w:fill="BDDEFF" w:themeFill="text2" w:themeFillTint="33"/>
          </w:tcPr>
          <w:p w14:paraId="65E1B147" w14:textId="77777777" w:rsidR="00BB480F" w:rsidRPr="006721A6" w:rsidRDefault="00BB480F" w:rsidP="00E33027">
            <w:pPr>
              <w:rPr>
                <w:rFonts w:cs="Arial"/>
                <w:b/>
                <w:color w:val="auto"/>
              </w:rPr>
            </w:pPr>
            <w:r w:rsidRPr="006721A6">
              <w:rPr>
                <w:rFonts w:cs="Arial"/>
                <w:b/>
                <w:color w:val="auto"/>
              </w:rPr>
              <w:t xml:space="preserve">Individual organisation </w:t>
            </w:r>
          </w:p>
        </w:tc>
        <w:tc>
          <w:tcPr>
            <w:tcW w:w="4650" w:type="dxa"/>
          </w:tcPr>
          <w:p w14:paraId="1E5AE9CE" w14:textId="77777777" w:rsidR="00BB480F" w:rsidRPr="009D1CC6" w:rsidRDefault="00BB480F" w:rsidP="006721A6">
            <w:pPr>
              <w:pStyle w:val="TableText"/>
            </w:pPr>
          </w:p>
        </w:tc>
      </w:tr>
      <w:tr w:rsidR="00BB480F" w:rsidRPr="009D1CC6" w14:paraId="1863CAB5" w14:textId="77777777" w:rsidTr="006721A6">
        <w:trPr>
          <w:trHeight w:val="835"/>
        </w:trPr>
        <w:tc>
          <w:tcPr>
            <w:tcW w:w="2324" w:type="dxa"/>
            <w:shd w:val="clear" w:color="auto" w:fill="BDDEFF" w:themeFill="text2" w:themeFillTint="33"/>
          </w:tcPr>
          <w:p w14:paraId="3E015296" w14:textId="77777777" w:rsidR="00BB480F" w:rsidRPr="009D1CC6" w:rsidRDefault="00BB480F" w:rsidP="00E33027">
            <w:pPr>
              <w:rPr>
                <w:rFonts w:cs="Arial"/>
              </w:rPr>
            </w:pPr>
          </w:p>
        </w:tc>
        <w:tc>
          <w:tcPr>
            <w:tcW w:w="2324" w:type="dxa"/>
            <w:shd w:val="clear" w:color="auto" w:fill="BDDEFF" w:themeFill="text2" w:themeFillTint="33"/>
          </w:tcPr>
          <w:p w14:paraId="53CA151D" w14:textId="77777777" w:rsidR="00BB480F" w:rsidRPr="009D1CC6" w:rsidRDefault="00BB480F" w:rsidP="00E33027">
            <w:pPr>
              <w:rPr>
                <w:rFonts w:cs="Arial"/>
              </w:rPr>
            </w:pPr>
          </w:p>
        </w:tc>
        <w:tc>
          <w:tcPr>
            <w:tcW w:w="2325" w:type="dxa"/>
            <w:shd w:val="clear" w:color="auto" w:fill="BDDEFF" w:themeFill="text2" w:themeFillTint="33"/>
          </w:tcPr>
          <w:p w14:paraId="0A98E476" w14:textId="77777777" w:rsidR="00BB480F" w:rsidRPr="009D1CC6" w:rsidRDefault="00BB480F" w:rsidP="00E33027">
            <w:pPr>
              <w:rPr>
                <w:rFonts w:cs="Arial"/>
              </w:rPr>
            </w:pPr>
          </w:p>
        </w:tc>
        <w:tc>
          <w:tcPr>
            <w:tcW w:w="2325" w:type="dxa"/>
            <w:shd w:val="clear" w:color="auto" w:fill="BDDEFF" w:themeFill="text2" w:themeFillTint="33"/>
          </w:tcPr>
          <w:p w14:paraId="26813E10" w14:textId="77777777" w:rsidR="00BB480F" w:rsidRPr="006721A6" w:rsidRDefault="00BB480F" w:rsidP="00E33027">
            <w:pPr>
              <w:rPr>
                <w:rFonts w:cs="Arial"/>
                <w:b/>
                <w:color w:val="auto"/>
              </w:rPr>
            </w:pPr>
            <w:r w:rsidRPr="006721A6">
              <w:rPr>
                <w:rFonts w:cs="Arial"/>
                <w:b/>
                <w:color w:val="auto"/>
              </w:rPr>
              <w:t>Partnership* (two or more organisations)</w:t>
            </w:r>
          </w:p>
        </w:tc>
        <w:tc>
          <w:tcPr>
            <w:tcW w:w="4650" w:type="dxa"/>
          </w:tcPr>
          <w:p w14:paraId="7CBC8F50" w14:textId="77777777" w:rsidR="00EB5156" w:rsidRDefault="00EB5156" w:rsidP="006721A6">
            <w:pPr>
              <w:pStyle w:val="TableText"/>
            </w:pPr>
            <w:r>
              <w:t>Kettering General Hospital</w:t>
            </w:r>
          </w:p>
          <w:p w14:paraId="4736B252" w14:textId="01783CAE" w:rsidR="00BB480F" w:rsidRPr="009D1CC6" w:rsidRDefault="00EB5156" w:rsidP="006721A6">
            <w:pPr>
              <w:pStyle w:val="TableText"/>
            </w:pPr>
            <w:r>
              <w:t>Northampton General Hospital</w:t>
            </w:r>
          </w:p>
        </w:tc>
      </w:tr>
      <w:tr w:rsidR="00BB480F" w:rsidRPr="009D1CC6" w14:paraId="736710D5" w14:textId="77777777" w:rsidTr="006721A6">
        <w:trPr>
          <w:trHeight w:val="708"/>
        </w:trPr>
        <w:tc>
          <w:tcPr>
            <w:tcW w:w="2324" w:type="dxa"/>
            <w:shd w:val="clear" w:color="auto" w:fill="BDDEFF" w:themeFill="text2" w:themeFillTint="33"/>
          </w:tcPr>
          <w:p w14:paraId="47645034" w14:textId="77777777" w:rsidR="00BB480F" w:rsidRPr="009D1CC6" w:rsidRDefault="00BB480F" w:rsidP="00E33027">
            <w:pPr>
              <w:rPr>
                <w:rFonts w:cs="Arial"/>
              </w:rPr>
            </w:pPr>
          </w:p>
        </w:tc>
        <w:tc>
          <w:tcPr>
            <w:tcW w:w="2324" w:type="dxa"/>
            <w:shd w:val="clear" w:color="auto" w:fill="BDDEFF" w:themeFill="text2" w:themeFillTint="33"/>
          </w:tcPr>
          <w:p w14:paraId="6E65BB8C" w14:textId="77777777" w:rsidR="00BB480F" w:rsidRPr="009D1CC6" w:rsidRDefault="00BB480F" w:rsidP="00E33027">
            <w:pPr>
              <w:rPr>
                <w:rFonts w:cs="Arial"/>
              </w:rPr>
            </w:pPr>
          </w:p>
        </w:tc>
        <w:tc>
          <w:tcPr>
            <w:tcW w:w="2325" w:type="dxa"/>
            <w:shd w:val="clear" w:color="auto" w:fill="BDDEFF" w:themeFill="text2" w:themeFillTint="33"/>
          </w:tcPr>
          <w:p w14:paraId="4FD8CFD6" w14:textId="77777777" w:rsidR="00BB480F" w:rsidRPr="009D1CC6" w:rsidRDefault="00BB480F" w:rsidP="00E33027">
            <w:pPr>
              <w:rPr>
                <w:rFonts w:cs="Arial"/>
              </w:rPr>
            </w:pPr>
          </w:p>
        </w:tc>
        <w:tc>
          <w:tcPr>
            <w:tcW w:w="2325" w:type="dxa"/>
            <w:shd w:val="clear" w:color="auto" w:fill="BDDEFF" w:themeFill="text2" w:themeFillTint="33"/>
          </w:tcPr>
          <w:p w14:paraId="4BAA26D3" w14:textId="77777777" w:rsidR="00BB480F" w:rsidRPr="006721A6" w:rsidRDefault="00BB480F" w:rsidP="00E33027">
            <w:pPr>
              <w:rPr>
                <w:rFonts w:cs="Arial"/>
                <w:b/>
                <w:color w:val="auto"/>
              </w:rPr>
            </w:pPr>
            <w:r w:rsidRPr="006721A6">
              <w:rPr>
                <w:rFonts w:cs="Arial"/>
                <w:b/>
                <w:color w:val="auto"/>
              </w:rPr>
              <w:t>Integrated Care System-wide*</w:t>
            </w:r>
          </w:p>
        </w:tc>
        <w:tc>
          <w:tcPr>
            <w:tcW w:w="4650" w:type="dxa"/>
          </w:tcPr>
          <w:p w14:paraId="59A03D93" w14:textId="77777777" w:rsidR="00BB480F" w:rsidRPr="009D1CC6" w:rsidRDefault="00BB480F" w:rsidP="006721A6">
            <w:pPr>
              <w:pStyle w:val="TableText"/>
            </w:pPr>
          </w:p>
        </w:tc>
      </w:tr>
    </w:tbl>
    <w:p w14:paraId="53FDB2D0" w14:textId="77777777" w:rsidR="00BB480F" w:rsidRPr="009D1CC6" w:rsidRDefault="00BB480F" w:rsidP="00BB480F">
      <w:pPr>
        <w:rPr>
          <w:rFonts w:cs="Arial"/>
        </w:rPr>
      </w:pP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2233"/>
        <w:gridCol w:w="4570"/>
        <w:gridCol w:w="3400"/>
        <w:gridCol w:w="3393"/>
      </w:tblGrid>
      <w:tr w:rsidR="006721A6" w:rsidRPr="006721A6" w14:paraId="3FCF24A1" w14:textId="77777777" w:rsidTr="006B2129">
        <w:tc>
          <w:tcPr>
            <w:tcW w:w="2268" w:type="dxa"/>
            <w:shd w:val="clear" w:color="auto" w:fill="BDDEFF" w:themeFill="text2" w:themeFillTint="33"/>
          </w:tcPr>
          <w:p w14:paraId="46C1C415" w14:textId="77777777" w:rsidR="00BB480F" w:rsidRPr="006721A6" w:rsidRDefault="00BB480F" w:rsidP="00E33027">
            <w:pPr>
              <w:rPr>
                <w:rFonts w:cs="Arial"/>
                <w:b/>
                <w:color w:val="auto"/>
              </w:rPr>
            </w:pPr>
            <w:r w:rsidRPr="006721A6">
              <w:rPr>
                <w:rFonts w:cs="Arial"/>
                <w:b/>
                <w:color w:val="auto"/>
              </w:rPr>
              <w:t>Date completed</w:t>
            </w:r>
          </w:p>
        </w:tc>
        <w:tc>
          <w:tcPr>
            <w:tcW w:w="4706" w:type="dxa"/>
          </w:tcPr>
          <w:p w14:paraId="128C3066" w14:textId="4B8DC084" w:rsidR="00BB480F" w:rsidRPr="006721A6" w:rsidRDefault="003B7553" w:rsidP="006B2129">
            <w:pPr>
              <w:pStyle w:val="TableText"/>
            </w:pPr>
            <w:r>
              <w:t>18 December 2023</w:t>
            </w:r>
          </w:p>
        </w:tc>
        <w:tc>
          <w:tcPr>
            <w:tcW w:w="3487" w:type="dxa"/>
            <w:shd w:val="clear" w:color="auto" w:fill="BDDEFF" w:themeFill="text2" w:themeFillTint="33"/>
          </w:tcPr>
          <w:p w14:paraId="27297992" w14:textId="77777777" w:rsidR="00BB480F" w:rsidRPr="006721A6" w:rsidRDefault="00BB480F" w:rsidP="00E33027">
            <w:pPr>
              <w:rPr>
                <w:rFonts w:cs="Arial"/>
                <w:b/>
                <w:color w:val="auto"/>
              </w:rPr>
            </w:pPr>
            <w:r w:rsidRPr="006721A6">
              <w:rPr>
                <w:rFonts w:cs="Arial"/>
                <w:b/>
                <w:color w:val="auto"/>
              </w:rPr>
              <w:t xml:space="preserve">Month and year published </w:t>
            </w:r>
          </w:p>
        </w:tc>
        <w:tc>
          <w:tcPr>
            <w:tcW w:w="3487" w:type="dxa"/>
          </w:tcPr>
          <w:p w14:paraId="7D299892" w14:textId="66303148" w:rsidR="00BB480F" w:rsidRPr="006B2129" w:rsidRDefault="003B7553" w:rsidP="006B2129">
            <w:pPr>
              <w:pStyle w:val="TableText"/>
            </w:pPr>
            <w:r>
              <w:t>February 2024</w:t>
            </w:r>
          </w:p>
        </w:tc>
      </w:tr>
      <w:tr w:rsidR="00BB480F" w:rsidRPr="009D1CC6" w14:paraId="701C6C8C" w14:textId="77777777" w:rsidTr="006B2129">
        <w:tc>
          <w:tcPr>
            <w:tcW w:w="2268" w:type="dxa"/>
            <w:shd w:val="clear" w:color="auto" w:fill="BDDEFF" w:themeFill="text2" w:themeFillTint="33"/>
          </w:tcPr>
          <w:p w14:paraId="08BD1D9E" w14:textId="77777777" w:rsidR="00BB480F" w:rsidRPr="009D1CC6" w:rsidRDefault="00BB480F" w:rsidP="00E33027">
            <w:pPr>
              <w:rPr>
                <w:rFonts w:cs="Arial"/>
                <w:b/>
                <w:color w:val="FFFFFF" w:themeColor="background1"/>
              </w:rPr>
            </w:pPr>
          </w:p>
        </w:tc>
        <w:tc>
          <w:tcPr>
            <w:tcW w:w="4706" w:type="dxa"/>
            <w:shd w:val="clear" w:color="auto" w:fill="BDDEFF" w:themeFill="text2" w:themeFillTint="33"/>
          </w:tcPr>
          <w:p w14:paraId="5A25E3CE" w14:textId="77777777" w:rsidR="00BB480F" w:rsidRPr="009D1CC6" w:rsidRDefault="00BB480F" w:rsidP="00E33027">
            <w:pPr>
              <w:rPr>
                <w:rFonts w:cs="Arial"/>
              </w:rPr>
            </w:pPr>
          </w:p>
        </w:tc>
        <w:tc>
          <w:tcPr>
            <w:tcW w:w="3487" w:type="dxa"/>
            <w:shd w:val="clear" w:color="auto" w:fill="BDDEFF" w:themeFill="text2" w:themeFillTint="33"/>
          </w:tcPr>
          <w:p w14:paraId="7AA13285" w14:textId="77777777" w:rsidR="00BB480F" w:rsidRPr="009D1CC6" w:rsidRDefault="00BB480F" w:rsidP="00E33027">
            <w:pPr>
              <w:rPr>
                <w:rFonts w:cs="Arial"/>
                <w:b/>
                <w:color w:val="FFFFFF" w:themeColor="background1"/>
              </w:rPr>
            </w:pPr>
          </w:p>
        </w:tc>
        <w:tc>
          <w:tcPr>
            <w:tcW w:w="3487" w:type="dxa"/>
            <w:shd w:val="clear" w:color="auto" w:fill="BDDEFF" w:themeFill="text2" w:themeFillTint="33"/>
          </w:tcPr>
          <w:p w14:paraId="151C0C9C" w14:textId="77777777" w:rsidR="00BB480F" w:rsidRPr="009D1CC6" w:rsidRDefault="00BB480F" w:rsidP="00E33027">
            <w:pPr>
              <w:rPr>
                <w:rFonts w:cs="Arial"/>
              </w:rPr>
            </w:pPr>
          </w:p>
        </w:tc>
      </w:tr>
      <w:tr w:rsidR="00BB480F" w:rsidRPr="009D1CC6" w14:paraId="5D4BC514" w14:textId="77777777" w:rsidTr="006B2129">
        <w:tc>
          <w:tcPr>
            <w:tcW w:w="2268" w:type="dxa"/>
            <w:shd w:val="clear" w:color="auto" w:fill="BDDEFF" w:themeFill="text2" w:themeFillTint="33"/>
          </w:tcPr>
          <w:p w14:paraId="0D7D39B0" w14:textId="77777777" w:rsidR="00BB480F" w:rsidRPr="006721A6" w:rsidRDefault="00BB480F" w:rsidP="00E33027">
            <w:pPr>
              <w:rPr>
                <w:rFonts w:cs="Arial"/>
                <w:b/>
                <w:color w:val="auto"/>
              </w:rPr>
            </w:pPr>
            <w:r w:rsidRPr="006721A6">
              <w:rPr>
                <w:rFonts w:cs="Arial"/>
                <w:b/>
                <w:color w:val="auto"/>
              </w:rPr>
              <w:t xml:space="preserve">Date authorised </w:t>
            </w:r>
          </w:p>
        </w:tc>
        <w:tc>
          <w:tcPr>
            <w:tcW w:w="4706" w:type="dxa"/>
          </w:tcPr>
          <w:p w14:paraId="181ACE1C" w14:textId="307F4772" w:rsidR="00BB480F" w:rsidRPr="009D1CC6" w:rsidRDefault="009D1277" w:rsidP="006B2129">
            <w:pPr>
              <w:pStyle w:val="TableText"/>
            </w:pPr>
            <w:r>
              <w:t>25 January 2024</w:t>
            </w:r>
          </w:p>
        </w:tc>
        <w:tc>
          <w:tcPr>
            <w:tcW w:w="3487" w:type="dxa"/>
            <w:shd w:val="clear" w:color="auto" w:fill="BDDEFF" w:themeFill="text2" w:themeFillTint="33"/>
          </w:tcPr>
          <w:p w14:paraId="5761D25A" w14:textId="77777777" w:rsidR="00BB480F" w:rsidRPr="009D1CC6" w:rsidRDefault="00BB480F" w:rsidP="00E33027">
            <w:pPr>
              <w:rPr>
                <w:rFonts w:cs="Arial"/>
                <w:b/>
                <w:color w:val="FFFFFF" w:themeColor="background1"/>
              </w:rPr>
            </w:pPr>
            <w:r w:rsidRPr="006721A6">
              <w:rPr>
                <w:rFonts w:cs="Arial"/>
                <w:b/>
                <w:color w:val="auto"/>
              </w:rPr>
              <w:t>Revision date</w:t>
            </w:r>
          </w:p>
        </w:tc>
        <w:tc>
          <w:tcPr>
            <w:tcW w:w="3487" w:type="dxa"/>
          </w:tcPr>
          <w:p w14:paraId="5ECF99CA" w14:textId="46485894" w:rsidR="00BB480F" w:rsidRPr="009D1CC6" w:rsidRDefault="0067106B" w:rsidP="006B2129">
            <w:pPr>
              <w:pStyle w:val="TableText"/>
            </w:pPr>
            <w:r>
              <w:t>N/A</w:t>
            </w:r>
          </w:p>
        </w:tc>
      </w:tr>
      <w:tr w:rsidR="00BB480F" w:rsidRPr="009D1CC6" w14:paraId="6E6D5797" w14:textId="77777777" w:rsidTr="006B2129">
        <w:tc>
          <w:tcPr>
            <w:tcW w:w="2268" w:type="dxa"/>
            <w:shd w:val="clear" w:color="auto" w:fill="BDDEFF" w:themeFill="text2" w:themeFillTint="33"/>
          </w:tcPr>
          <w:p w14:paraId="3ED48348" w14:textId="77777777" w:rsidR="00BB480F" w:rsidRPr="009D1CC6" w:rsidRDefault="00BB480F" w:rsidP="00E33027">
            <w:pPr>
              <w:rPr>
                <w:rFonts w:cs="Arial"/>
                <w:b/>
                <w:color w:val="FFFFFF" w:themeColor="background1"/>
              </w:rPr>
            </w:pPr>
          </w:p>
        </w:tc>
        <w:tc>
          <w:tcPr>
            <w:tcW w:w="4706" w:type="dxa"/>
            <w:shd w:val="clear" w:color="auto" w:fill="BDDEFF" w:themeFill="text2" w:themeFillTint="33"/>
          </w:tcPr>
          <w:p w14:paraId="79BD3406" w14:textId="77777777" w:rsidR="00BB480F" w:rsidRPr="009D1CC6" w:rsidRDefault="00BB480F" w:rsidP="00E33027">
            <w:pPr>
              <w:rPr>
                <w:rFonts w:cs="Arial"/>
              </w:rPr>
            </w:pPr>
          </w:p>
        </w:tc>
        <w:tc>
          <w:tcPr>
            <w:tcW w:w="3487" w:type="dxa"/>
            <w:shd w:val="clear" w:color="auto" w:fill="BDDEFF" w:themeFill="text2" w:themeFillTint="33"/>
          </w:tcPr>
          <w:p w14:paraId="6A81C655" w14:textId="77777777" w:rsidR="00BB480F" w:rsidRPr="009D1CC6" w:rsidRDefault="00BB480F" w:rsidP="00E33027">
            <w:pPr>
              <w:rPr>
                <w:rFonts w:cs="Arial"/>
                <w:b/>
                <w:color w:val="FFFFFF" w:themeColor="background1"/>
              </w:rPr>
            </w:pPr>
          </w:p>
        </w:tc>
        <w:tc>
          <w:tcPr>
            <w:tcW w:w="3487" w:type="dxa"/>
            <w:shd w:val="clear" w:color="auto" w:fill="BDDEFF" w:themeFill="text2" w:themeFillTint="33"/>
          </w:tcPr>
          <w:p w14:paraId="0FA2AA56" w14:textId="77777777" w:rsidR="00BB480F" w:rsidRPr="009D1CC6" w:rsidRDefault="00BB480F" w:rsidP="00E33027">
            <w:pPr>
              <w:rPr>
                <w:rFonts w:cs="Arial"/>
              </w:rPr>
            </w:pPr>
          </w:p>
        </w:tc>
      </w:tr>
    </w:tbl>
    <w:p w14:paraId="5A224E89" w14:textId="127919E8" w:rsidR="00BB480F" w:rsidRPr="00EB5156" w:rsidRDefault="00BB480F" w:rsidP="00EB5156">
      <w:pPr>
        <w:rPr>
          <w:rFonts w:cs="Arial"/>
          <w:b/>
        </w:rPr>
      </w:pPr>
      <w:r w:rsidRPr="009D1CC6">
        <w:t xml:space="preserve">EDS Rating and Score Card </w:t>
      </w:r>
    </w:p>
    <w:p w14:paraId="712BB3C9" w14:textId="77777777" w:rsidR="00BB480F" w:rsidRPr="009D1CC6" w:rsidRDefault="00BB480F" w:rsidP="00BB480F">
      <w:pPr>
        <w:rPr>
          <w:rFonts w:cs="Arial"/>
        </w:rPr>
      </w:pPr>
    </w:p>
    <w:tbl>
      <w:tblPr>
        <w:tblStyle w:val="TableGrid"/>
        <w:tblW w:w="13598" w:type="dxa"/>
        <w:tblCellMar>
          <w:top w:w="62" w:type="dxa"/>
          <w:left w:w="62" w:type="dxa"/>
          <w:bottom w:w="62" w:type="dxa"/>
          <w:right w:w="62" w:type="dxa"/>
        </w:tblCellMar>
        <w:tblLook w:val="04A0" w:firstRow="1" w:lastRow="0" w:firstColumn="1" w:lastColumn="0" w:noHBand="0" w:noVBand="1"/>
      </w:tblPr>
      <w:tblGrid>
        <w:gridCol w:w="6799"/>
        <w:gridCol w:w="6799"/>
      </w:tblGrid>
      <w:tr w:rsidR="00BB480F" w:rsidRPr="009D1CC6" w14:paraId="19A07B22" w14:textId="77777777" w:rsidTr="0032702A">
        <w:tc>
          <w:tcPr>
            <w:tcW w:w="13598" w:type="dxa"/>
            <w:gridSpan w:val="2"/>
            <w:shd w:val="clear" w:color="auto" w:fill="BDDEFF" w:themeFill="accent1" w:themeFillTint="33"/>
          </w:tcPr>
          <w:p w14:paraId="349D13F1" w14:textId="77777777" w:rsidR="00BB480F" w:rsidRPr="009D1CC6" w:rsidRDefault="00BB480F" w:rsidP="0032702A">
            <w:pPr>
              <w:pStyle w:val="TableText"/>
            </w:pPr>
            <w:r w:rsidRPr="009D1CC6">
              <w:lastRenderedPageBreak/>
              <w:t>Please refer to the Rating and Score Card supporting guidance document before you start to score. The Rating and Score Card supporting guidance document has a full explanation of the new rating procedure, and can assist you and those you are engaging with to ensure rating is done correctly</w:t>
            </w:r>
          </w:p>
          <w:p w14:paraId="0912CA03" w14:textId="77777777" w:rsidR="00BB480F" w:rsidRPr="009D1CC6" w:rsidRDefault="00BB480F" w:rsidP="0032702A">
            <w:pPr>
              <w:pStyle w:val="TableText"/>
            </w:pPr>
          </w:p>
          <w:p w14:paraId="30DC972E" w14:textId="77777777" w:rsidR="00BB480F" w:rsidRPr="009D1CC6" w:rsidRDefault="00BB480F" w:rsidP="0032702A">
            <w:pPr>
              <w:pStyle w:val="TableText"/>
            </w:pPr>
            <w:r w:rsidRPr="009D1CC6">
              <w:t xml:space="preserve">Score each outcome. Add the scores of all outcomes together. This will provide you with your overall score, or your EDS Organisation Rating. Ratings in accordance </w:t>
            </w:r>
            <w:proofErr w:type="gramStart"/>
            <w:r w:rsidRPr="009D1CC6">
              <w:t>to</w:t>
            </w:r>
            <w:proofErr w:type="gramEnd"/>
            <w:r w:rsidRPr="009D1CC6">
              <w:t xml:space="preserve"> scores are below</w:t>
            </w:r>
          </w:p>
        </w:tc>
      </w:tr>
      <w:tr w:rsidR="00BB480F" w:rsidRPr="009D1CC6" w14:paraId="73D145F8" w14:textId="77777777" w:rsidTr="0032702A">
        <w:tc>
          <w:tcPr>
            <w:tcW w:w="13598" w:type="dxa"/>
            <w:gridSpan w:val="2"/>
            <w:tcBorders>
              <w:bottom w:val="single" w:sz="4" w:space="0" w:color="768692" w:themeColor="accent2"/>
            </w:tcBorders>
            <w:shd w:val="clear" w:color="auto" w:fill="0070C0"/>
          </w:tcPr>
          <w:p w14:paraId="3CA07C67" w14:textId="77777777" w:rsidR="00BB480F" w:rsidRPr="009D1CC6" w:rsidRDefault="00BB480F" w:rsidP="00E33027">
            <w:pPr>
              <w:rPr>
                <w:rFonts w:cs="Arial"/>
              </w:rPr>
            </w:pPr>
          </w:p>
        </w:tc>
      </w:tr>
      <w:tr w:rsidR="00BB480F" w:rsidRPr="009D1CC6" w14:paraId="05A4A469"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12605887" w14:textId="5703B6BB" w:rsidR="00BB480F" w:rsidRPr="009D1CC6" w:rsidRDefault="00BB480F" w:rsidP="00DE33E9">
            <w:pPr>
              <w:rPr>
                <w:rFonts w:cs="Arial"/>
              </w:rPr>
            </w:pPr>
            <w:r w:rsidRPr="009D1CC6">
              <w:rPr>
                <w:rFonts w:cs="Arial"/>
                <w:b/>
                <w:color w:val="C00000"/>
              </w:rPr>
              <w:t>Undeveloped activity</w:t>
            </w:r>
            <w:r w:rsidRPr="009D1CC6">
              <w:rPr>
                <w:rFonts w:cs="Arial"/>
              </w:rPr>
              <w:t xml:space="preserve"> – </w:t>
            </w:r>
            <w:r w:rsidRPr="009D1CC6">
              <w:rPr>
                <w:rFonts w:cs="Arial"/>
                <w:b/>
              </w:rPr>
              <w:t>organisations score out of 0</w:t>
            </w:r>
            <w:r w:rsidRPr="009D1CC6">
              <w:rPr>
                <w:rFonts w:cs="Arial"/>
              </w:rPr>
              <w:t xml:space="preserve"> 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8508FAD" w14:textId="73DB1BA4" w:rsidR="00BB480F" w:rsidRPr="009D1CC6" w:rsidRDefault="00BB480F" w:rsidP="00DE33E9">
            <w:pPr>
              <w:rPr>
                <w:rFonts w:cs="Arial"/>
                <w:b/>
                <w:color w:val="7030A0"/>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tc>
      </w:tr>
      <w:tr w:rsidR="0032702A" w:rsidRPr="009D1CC6" w14:paraId="17C06607"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19F7C0F" w14:textId="03130ABA" w:rsidR="0032702A" w:rsidRPr="009D1CC6" w:rsidRDefault="00DE33E9" w:rsidP="00DE33E9">
            <w:pPr>
              <w:rPr>
                <w:rFonts w:cs="Arial"/>
              </w:rPr>
            </w:pPr>
            <w:r w:rsidRPr="009D1CC6">
              <w:rPr>
                <w:rFonts w:cs="Arial"/>
                <w:b/>
                <w:color w:val="1991C2" w:themeColor="accent4" w:themeShade="BF"/>
              </w:rPr>
              <w:t>Developing activity</w:t>
            </w:r>
            <w:r w:rsidRPr="009D1CC6">
              <w:rPr>
                <w:rFonts w:cs="Arial"/>
              </w:rPr>
              <w:t xml:space="preserve"> – </w:t>
            </w:r>
            <w:r w:rsidRPr="009D1CC6">
              <w:rPr>
                <w:rFonts w:cs="Arial"/>
                <w:b/>
              </w:rPr>
              <w:t xml:space="preserve">organisations score out of 1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3E67309A" w14:textId="51196A59" w:rsidR="0032702A" w:rsidRPr="009D1CC6" w:rsidRDefault="00DE33E9" w:rsidP="00DE33E9">
            <w:pPr>
              <w:rPr>
                <w:rFonts w:cs="Arial"/>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tc>
      </w:tr>
      <w:tr w:rsidR="0032702A" w:rsidRPr="009D1CC6" w14:paraId="6917F7B5"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23896C49" w14:textId="5857215A" w:rsidR="0032702A" w:rsidRPr="009D1CC6" w:rsidRDefault="00DE33E9" w:rsidP="00DE33E9">
            <w:pPr>
              <w:rPr>
                <w:rFonts w:cs="Arial"/>
              </w:rPr>
            </w:pPr>
            <w:r w:rsidRPr="009D1CC6">
              <w:rPr>
                <w:rFonts w:cs="Arial"/>
                <w:b/>
                <w:color w:val="00B050"/>
              </w:rPr>
              <w:t>Achieving activity</w:t>
            </w:r>
            <w:r w:rsidRPr="009D1CC6">
              <w:rPr>
                <w:rFonts w:cs="Arial"/>
              </w:rPr>
              <w:t xml:space="preserve"> – </w:t>
            </w:r>
            <w:r w:rsidRPr="009D1CC6">
              <w:rPr>
                <w:rFonts w:cs="Arial"/>
                <w:b/>
              </w:rPr>
              <w:t xml:space="preserve">organisations score out of 2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6A0BFDE4" w14:textId="747D9477" w:rsidR="0032702A" w:rsidRPr="009D1CC6" w:rsidRDefault="00DE33E9" w:rsidP="00DE33E9">
            <w:pPr>
              <w:rPr>
                <w:rFonts w:cs="Arial"/>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tc>
      </w:tr>
      <w:tr w:rsidR="0032702A" w:rsidRPr="009D1CC6" w14:paraId="461F0707" w14:textId="77777777" w:rsidTr="00DE33E9">
        <w:trPr>
          <w:trHeight w:val="850"/>
        </w:trPr>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4FF07431" w14:textId="32007FDB" w:rsidR="0032702A" w:rsidRPr="009D1CC6" w:rsidRDefault="00DE33E9" w:rsidP="00DE33E9">
            <w:pPr>
              <w:rPr>
                <w:rFonts w:cs="Arial"/>
              </w:rPr>
            </w:pPr>
            <w:r w:rsidRPr="009D1CC6">
              <w:rPr>
                <w:rFonts w:cs="Arial"/>
                <w:b/>
                <w:color w:val="7030A0"/>
              </w:rPr>
              <w:t>Excelling activity</w:t>
            </w:r>
            <w:r w:rsidRPr="009D1CC6">
              <w:rPr>
                <w:rFonts w:cs="Arial"/>
              </w:rPr>
              <w:t xml:space="preserve"> – </w:t>
            </w:r>
            <w:r w:rsidRPr="009D1CC6">
              <w:rPr>
                <w:rFonts w:cs="Arial"/>
                <w:b/>
              </w:rPr>
              <w:t xml:space="preserve">organisations score out of 3 </w:t>
            </w:r>
            <w:r w:rsidRPr="009D1CC6">
              <w:rPr>
                <w:rFonts w:cs="Arial"/>
              </w:rPr>
              <w:t>for each outcome</w:t>
            </w:r>
          </w:p>
        </w:tc>
        <w:tc>
          <w:tcPr>
            <w:tcW w:w="6799" w:type="dxa"/>
            <w:tcBorders>
              <w:top w:val="single" w:sz="4" w:space="0" w:color="768692" w:themeColor="accent2"/>
              <w:left w:val="single" w:sz="4" w:space="0" w:color="768692" w:themeColor="accent2"/>
              <w:bottom w:val="single" w:sz="4" w:space="0" w:color="768692" w:themeColor="accent2"/>
              <w:right w:val="single" w:sz="4" w:space="0" w:color="768692" w:themeColor="accent2"/>
            </w:tcBorders>
            <w:vAlign w:val="center"/>
          </w:tcPr>
          <w:p w14:paraId="56A65530" w14:textId="74F9995F" w:rsidR="0032702A" w:rsidRPr="009D1CC6" w:rsidRDefault="00DE33E9" w:rsidP="00DE33E9">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tc>
      </w:tr>
    </w:tbl>
    <w:p w14:paraId="18440B57" w14:textId="77777777" w:rsidR="00BB480F" w:rsidRPr="009D1CC6" w:rsidRDefault="00BB480F" w:rsidP="00BB480F">
      <w:pPr>
        <w:rPr>
          <w:rFonts w:cs="Arial"/>
        </w:rPr>
      </w:pPr>
      <w:r w:rsidRPr="009D1CC6">
        <w:rPr>
          <w:rFonts w:cs="Arial"/>
        </w:rPr>
        <w:br w:type="page"/>
      </w:r>
    </w:p>
    <w:p w14:paraId="0573CF1E" w14:textId="0E1CB6C7" w:rsidR="00BB480F" w:rsidRPr="009D1CC6" w:rsidRDefault="00BB480F" w:rsidP="00BB480F">
      <w:pPr>
        <w:rPr>
          <w:rFonts w:cs="Arial"/>
        </w:rPr>
      </w:pPr>
    </w:p>
    <w:p w14:paraId="6EB4CA33" w14:textId="683BC0D0" w:rsidR="00C74918" w:rsidRDefault="00C74918">
      <w:pPr>
        <w:rPr>
          <w:rFonts w:eastAsiaTheme="majorEastAsia" w:cstheme="majorBidi"/>
          <w:color w:val="005EB8"/>
          <w:sz w:val="36"/>
          <w:szCs w:val="26"/>
        </w:rPr>
      </w:pPr>
    </w:p>
    <w:p w14:paraId="5093FA46" w14:textId="6234A3D9" w:rsidR="009C2451" w:rsidRPr="009D1CC6" w:rsidRDefault="004E2D9E" w:rsidP="009C2451">
      <w:pPr>
        <w:pStyle w:val="Heading2"/>
      </w:pPr>
      <w:r>
        <w:t>Domain 1</w:t>
      </w:r>
      <w:r w:rsidR="009C2451">
        <w:t xml:space="preserve">: Commissioned or provided services </w:t>
      </w:r>
    </w:p>
    <w:tbl>
      <w:tblPr>
        <w:tblStyle w:val="TableGrid"/>
        <w:tblpPr w:leftFromText="180" w:rightFromText="180" w:vertAnchor="page" w:horzAnchor="margin" w:tblpY="2566"/>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24"/>
        <w:gridCol w:w="1990"/>
        <w:gridCol w:w="6798"/>
        <w:gridCol w:w="1258"/>
        <w:gridCol w:w="2426"/>
      </w:tblGrid>
      <w:tr w:rsidR="009C2451" w:rsidRPr="009D1CC6" w14:paraId="78DF96A8" w14:textId="77777777" w:rsidTr="00CF5F45">
        <w:tc>
          <w:tcPr>
            <w:tcW w:w="1124" w:type="dxa"/>
            <w:shd w:val="clear" w:color="auto" w:fill="BDDEFF" w:themeFill="accent1" w:themeFillTint="33"/>
          </w:tcPr>
          <w:p w14:paraId="6726F3F0" w14:textId="77777777" w:rsidR="009C2451" w:rsidRPr="009D1CC6" w:rsidRDefault="009C2451" w:rsidP="00CF5F45">
            <w:pPr>
              <w:rPr>
                <w:rFonts w:cs="Arial"/>
                <w:b/>
              </w:rPr>
            </w:pPr>
            <w:r w:rsidRPr="009D1CC6">
              <w:rPr>
                <w:rFonts w:cs="Arial"/>
                <w:b/>
              </w:rPr>
              <w:t>Domain</w:t>
            </w:r>
          </w:p>
        </w:tc>
        <w:tc>
          <w:tcPr>
            <w:tcW w:w="1990" w:type="dxa"/>
            <w:shd w:val="clear" w:color="auto" w:fill="BDDEFF" w:themeFill="accent1" w:themeFillTint="33"/>
          </w:tcPr>
          <w:p w14:paraId="5C693925" w14:textId="77777777" w:rsidR="009C2451" w:rsidRPr="009D1CC6" w:rsidRDefault="009C2451" w:rsidP="00CF5F45">
            <w:pPr>
              <w:rPr>
                <w:rFonts w:cs="Arial"/>
                <w:b/>
              </w:rPr>
            </w:pPr>
            <w:r w:rsidRPr="009D1CC6">
              <w:rPr>
                <w:rFonts w:cs="Arial"/>
                <w:b/>
              </w:rPr>
              <w:t>Outcome</w:t>
            </w:r>
          </w:p>
        </w:tc>
        <w:tc>
          <w:tcPr>
            <w:tcW w:w="6798" w:type="dxa"/>
            <w:shd w:val="clear" w:color="auto" w:fill="BDDEFF" w:themeFill="accent1" w:themeFillTint="33"/>
          </w:tcPr>
          <w:p w14:paraId="4BC21D0D" w14:textId="77777777" w:rsidR="009C2451" w:rsidRPr="009D1CC6" w:rsidRDefault="009C2451" w:rsidP="00CF5F45">
            <w:pPr>
              <w:rPr>
                <w:rFonts w:cs="Arial"/>
                <w:b/>
              </w:rPr>
            </w:pPr>
            <w:r w:rsidRPr="009D1CC6">
              <w:rPr>
                <w:rFonts w:cs="Arial"/>
                <w:b/>
              </w:rPr>
              <w:t xml:space="preserve">Evidence </w:t>
            </w:r>
          </w:p>
        </w:tc>
        <w:tc>
          <w:tcPr>
            <w:tcW w:w="1258" w:type="dxa"/>
            <w:shd w:val="clear" w:color="auto" w:fill="BDDEFF" w:themeFill="accent1" w:themeFillTint="33"/>
          </w:tcPr>
          <w:p w14:paraId="70E1690A" w14:textId="77777777" w:rsidR="009C2451" w:rsidRPr="009D1CC6" w:rsidRDefault="009C2451" w:rsidP="00CF5F45">
            <w:pPr>
              <w:rPr>
                <w:rFonts w:cs="Arial"/>
                <w:b/>
              </w:rPr>
            </w:pPr>
            <w:r w:rsidRPr="009D1CC6">
              <w:rPr>
                <w:rFonts w:cs="Arial"/>
                <w:b/>
              </w:rPr>
              <w:t>Rating</w:t>
            </w:r>
          </w:p>
        </w:tc>
        <w:tc>
          <w:tcPr>
            <w:tcW w:w="2426" w:type="dxa"/>
            <w:shd w:val="clear" w:color="auto" w:fill="BDDEFF" w:themeFill="accent1" w:themeFillTint="33"/>
          </w:tcPr>
          <w:p w14:paraId="1287A55D" w14:textId="77777777" w:rsidR="009C2451" w:rsidRPr="009D1CC6" w:rsidRDefault="009C2451" w:rsidP="00CF5F45">
            <w:pPr>
              <w:rPr>
                <w:rFonts w:cs="Arial"/>
                <w:b/>
              </w:rPr>
            </w:pPr>
            <w:r w:rsidRPr="009D1CC6">
              <w:rPr>
                <w:rFonts w:cs="Arial"/>
                <w:b/>
              </w:rPr>
              <w:t>Owner (Dept/Lead)</w:t>
            </w:r>
          </w:p>
        </w:tc>
      </w:tr>
      <w:tr w:rsidR="009C2451" w:rsidRPr="009D1CC6" w14:paraId="2133E295" w14:textId="77777777" w:rsidTr="00CF5F45">
        <w:trPr>
          <w:cantSplit/>
          <w:trHeight w:val="1134"/>
        </w:trPr>
        <w:tc>
          <w:tcPr>
            <w:tcW w:w="1124" w:type="dxa"/>
            <w:vMerge w:val="restart"/>
            <w:shd w:val="clear" w:color="auto" w:fill="BDDEFF" w:themeFill="accent1" w:themeFillTint="33"/>
            <w:textDirection w:val="btLr"/>
            <w:vAlign w:val="center"/>
          </w:tcPr>
          <w:p w14:paraId="34A39BE0" w14:textId="77777777" w:rsidR="009C2451" w:rsidRPr="009D1CC6" w:rsidRDefault="009C2451" w:rsidP="00CF5F45">
            <w:pPr>
              <w:jc w:val="center"/>
              <w:rPr>
                <w:rFonts w:cs="Arial"/>
                <w:b/>
                <w:i/>
              </w:rPr>
            </w:pPr>
            <w:r w:rsidRPr="009D1CC6">
              <w:rPr>
                <w:rFonts w:cs="Arial"/>
                <w:b/>
                <w:i/>
              </w:rPr>
              <w:t>Domain 1: Commissioned or provided services</w:t>
            </w:r>
          </w:p>
          <w:p w14:paraId="039FA922" w14:textId="77777777" w:rsidR="009C2451" w:rsidRPr="009D1CC6" w:rsidRDefault="009C2451" w:rsidP="00CF5F45">
            <w:pPr>
              <w:ind w:left="113" w:right="113"/>
              <w:jc w:val="center"/>
              <w:rPr>
                <w:rFonts w:cs="Arial"/>
              </w:rPr>
            </w:pPr>
          </w:p>
        </w:tc>
        <w:tc>
          <w:tcPr>
            <w:tcW w:w="1990" w:type="dxa"/>
            <w:shd w:val="clear" w:color="auto" w:fill="BDDEFF" w:themeFill="accent1" w:themeFillTint="33"/>
            <w:vAlign w:val="center"/>
          </w:tcPr>
          <w:p w14:paraId="1F283F24" w14:textId="77777777" w:rsidR="009C2451" w:rsidRPr="009D1CC6" w:rsidRDefault="009C2451" w:rsidP="00CF5F45">
            <w:pPr>
              <w:rPr>
                <w:rFonts w:cs="Arial"/>
                <w:b/>
              </w:rPr>
            </w:pPr>
            <w:r w:rsidRPr="009D1CC6">
              <w:rPr>
                <w:rFonts w:cs="Arial"/>
              </w:rPr>
              <w:t>1A:</w:t>
            </w:r>
            <w:r>
              <w:rPr>
                <w:rFonts w:cs="Arial"/>
              </w:rPr>
              <w:t xml:space="preserve"> </w:t>
            </w:r>
            <w:r w:rsidRPr="009D1CC6">
              <w:rPr>
                <w:rFonts w:cs="Arial"/>
                <w:bCs/>
              </w:rPr>
              <w:t>Patients (service users) have required levels of access to the service</w:t>
            </w:r>
          </w:p>
        </w:tc>
        <w:tc>
          <w:tcPr>
            <w:tcW w:w="6798" w:type="dxa"/>
            <w:vMerge w:val="restart"/>
          </w:tcPr>
          <w:p w14:paraId="660B0DFC" w14:textId="77777777" w:rsidR="009C2451" w:rsidRDefault="009C2451" w:rsidP="00CF5F45">
            <w:pPr>
              <w:pStyle w:val="TableText"/>
            </w:pPr>
            <w:r>
              <w:t xml:space="preserve">Northamptonshire Integrated Care Board, reviewed Domain 1 in accordance with the aims of EDS 2022 aims.  </w:t>
            </w:r>
          </w:p>
          <w:p w14:paraId="51246871" w14:textId="77777777" w:rsidR="009C2451" w:rsidRDefault="009C2451" w:rsidP="00CF5F45">
            <w:pPr>
              <w:pStyle w:val="TableText"/>
            </w:pPr>
          </w:p>
          <w:p w14:paraId="7CC7A677" w14:textId="77777777" w:rsidR="009C2451" w:rsidRDefault="009C2451" w:rsidP="00CF5F45">
            <w:pPr>
              <w:pStyle w:val="TableText"/>
            </w:pPr>
            <w:r>
              <w:t xml:space="preserve">The two services selected for review were – </w:t>
            </w:r>
          </w:p>
          <w:p w14:paraId="124A2742" w14:textId="77777777" w:rsidR="009C2451" w:rsidRDefault="009C2451" w:rsidP="00CF5F45">
            <w:pPr>
              <w:pStyle w:val="TableText"/>
              <w:numPr>
                <w:ilvl w:val="0"/>
                <w:numId w:val="29"/>
              </w:numPr>
            </w:pPr>
            <w:r>
              <w:t>Diabetes (Community Care)</w:t>
            </w:r>
          </w:p>
          <w:p w14:paraId="41D0C48D" w14:textId="77777777" w:rsidR="009C2451" w:rsidRDefault="009C2451" w:rsidP="00CF5F45">
            <w:pPr>
              <w:pStyle w:val="TableText"/>
              <w:numPr>
                <w:ilvl w:val="0"/>
                <w:numId w:val="29"/>
              </w:numPr>
            </w:pPr>
            <w:r>
              <w:t>Chaplaincy</w:t>
            </w:r>
          </w:p>
          <w:p w14:paraId="01112A32" w14:textId="77777777" w:rsidR="009C2451" w:rsidRDefault="009C2451" w:rsidP="00CF5F45">
            <w:pPr>
              <w:pStyle w:val="TableText"/>
            </w:pPr>
          </w:p>
          <w:p w14:paraId="0A8C72E5" w14:textId="77777777" w:rsidR="009C2451" w:rsidRDefault="009C2451" w:rsidP="00CF5F45">
            <w:pPr>
              <w:pStyle w:val="TableText"/>
            </w:pPr>
            <w:r>
              <w:t xml:space="preserve">Diabetes Community Care is commissioned to Northamptonshire Healthcare Foundation Trust. Diabetes Community Care service was reviewed as ‘achieving’ across the Integrated Care Board. </w:t>
            </w:r>
          </w:p>
          <w:p w14:paraId="49206D8B" w14:textId="77777777" w:rsidR="009C2451" w:rsidRDefault="009C2451" w:rsidP="00CF5F45">
            <w:pPr>
              <w:pStyle w:val="TableText"/>
            </w:pPr>
          </w:p>
          <w:p w14:paraId="7C17553B" w14:textId="77777777" w:rsidR="009C2451" w:rsidRPr="009D1CC6" w:rsidRDefault="009C2451" w:rsidP="00CF5F45">
            <w:pPr>
              <w:pStyle w:val="TableText"/>
            </w:pPr>
            <w:r>
              <w:t>Chaplaincy is the provided services at Northampton General Hospital and Kettering General Hospital along with Spiritual Wellbeing at NHFT. This service was graded as ‘excelling’ across the Integrated Care Board</w:t>
            </w:r>
          </w:p>
        </w:tc>
        <w:tc>
          <w:tcPr>
            <w:tcW w:w="1258" w:type="dxa"/>
            <w:vMerge w:val="restart"/>
          </w:tcPr>
          <w:p w14:paraId="262DB7F7" w14:textId="77777777" w:rsidR="009C2451" w:rsidRPr="000B1361" w:rsidRDefault="009C2451" w:rsidP="00CF5F45">
            <w:pPr>
              <w:pStyle w:val="TableText"/>
              <w:jc w:val="center"/>
              <w:rPr>
                <w:b/>
                <w:bCs/>
              </w:rPr>
            </w:pPr>
          </w:p>
        </w:tc>
        <w:tc>
          <w:tcPr>
            <w:tcW w:w="2426" w:type="dxa"/>
            <w:vMerge w:val="restart"/>
          </w:tcPr>
          <w:p w14:paraId="42F73833" w14:textId="77777777" w:rsidR="009C2451" w:rsidRPr="009D1CC6" w:rsidRDefault="009C2451" w:rsidP="00CF5F45">
            <w:pPr>
              <w:pStyle w:val="TableText"/>
            </w:pPr>
            <w:r>
              <w:t>Northamptonshire Integrated Care Board</w:t>
            </w:r>
          </w:p>
        </w:tc>
      </w:tr>
      <w:tr w:rsidR="009C2451" w:rsidRPr="009D1CC6" w14:paraId="2D1BB09A" w14:textId="77777777" w:rsidTr="00CF5F45">
        <w:trPr>
          <w:cantSplit/>
          <w:trHeight w:val="1134"/>
        </w:trPr>
        <w:tc>
          <w:tcPr>
            <w:tcW w:w="1124" w:type="dxa"/>
            <w:vMerge/>
            <w:shd w:val="clear" w:color="auto" w:fill="BDDEFF" w:themeFill="accent1" w:themeFillTint="33"/>
          </w:tcPr>
          <w:p w14:paraId="5E8830BD" w14:textId="77777777" w:rsidR="009C2451" w:rsidRPr="009D1CC6" w:rsidRDefault="009C2451" w:rsidP="00CF5F45">
            <w:pPr>
              <w:rPr>
                <w:rFonts w:cs="Arial"/>
              </w:rPr>
            </w:pPr>
          </w:p>
        </w:tc>
        <w:tc>
          <w:tcPr>
            <w:tcW w:w="1990" w:type="dxa"/>
            <w:shd w:val="clear" w:color="auto" w:fill="BDDEFF" w:themeFill="accent1" w:themeFillTint="33"/>
            <w:vAlign w:val="center"/>
          </w:tcPr>
          <w:p w14:paraId="29C2AEDC" w14:textId="77777777" w:rsidR="009C2451" w:rsidRPr="009D1CC6" w:rsidRDefault="009C2451" w:rsidP="00CF5F45">
            <w:pPr>
              <w:rPr>
                <w:rFonts w:cs="Arial"/>
              </w:rPr>
            </w:pPr>
            <w:r w:rsidRPr="009D1CC6">
              <w:rPr>
                <w:rFonts w:cs="Arial"/>
              </w:rPr>
              <w:t>1B: Individual p</w:t>
            </w:r>
            <w:r w:rsidRPr="009D1CC6">
              <w:rPr>
                <w:rFonts w:cs="Arial"/>
                <w:bCs/>
              </w:rPr>
              <w:t xml:space="preserve">atients (service users) </w:t>
            </w:r>
            <w:r w:rsidRPr="009D1CC6">
              <w:rPr>
                <w:rFonts w:cs="Arial"/>
              </w:rPr>
              <w:t>health needs are met</w:t>
            </w:r>
          </w:p>
        </w:tc>
        <w:tc>
          <w:tcPr>
            <w:tcW w:w="6798" w:type="dxa"/>
            <w:vMerge/>
          </w:tcPr>
          <w:p w14:paraId="2CBAEC7D" w14:textId="77777777" w:rsidR="009C2451" w:rsidRPr="009D1CC6" w:rsidRDefault="009C2451" w:rsidP="00CF5F45">
            <w:pPr>
              <w:pStyle w:val="TableText"/>
            </w:pPr>
          </w:p>
        </w:tc>
        <w:tc>
          <w:tcPr>
            <w:tcW w:w="1258" w:type="dxa"/>
            <w:vMerge/>
          </w:tcPr>
          <w:p w14:paraId="1A0F4497" w14:textId="77777777" w:rsidR="009C2451" w:rsidRPr="0062038A" w:rsidRDefault="009C2451" w:rsidP="00CF5F45">
            <w:pPr>
              <w:pStyle w:val="TableText"/>
              <w:jc w:val="center"/>
              <w:rPr>
                <w:b/>
                <w:bCs/>
              </w:rPr>
            </w:pPr>
          </w:p>
        </w:tc>
        <w:tc>
          <w:tcPr>
            <w:tcW w:w="2426" w:type="dxa"/>
            <w:vMerge/>
          </w:tcPr>
          <w:p w14:paraId="56C70BC7" w14:textId="77777777" w:rsidR="009C2451" w:rsidRPr="009D1CC6" w:rsidRDefault="009C2451" w:rsidP="00CF5F45">
            <w:pPr>
              <w:pStyle w:val="TableText"/>
            </w:pPr>
          </w:p>
        </w:tc>
      </w:tr>
      <w:tr w:rsidR="009C2451" w:rsidRPr="009D1CC6" w14:paraId="1670739B" w14:textId="77777777" w:rsidTr="00CF5F45">
        <w:trPr>
          <w:cantSplit/>
          <w:trHeight w:val="1134"/>
        </w:trPr>
        <w:tc>
          <w:tcPr>
            <w:tcW w:w="1124" w:type="dxa"/>
            <w:vMerge/>
            <w:shd w:val="clear" w:color="auto" w:fill="BDDEFF" w:themeFill="accent1" w:themeFillTint="33"/>
          </w:tcPr>
          <w:p w14:paraId="1A52DF96" w14:textId="77777777" w:rsidR="009C2451" w:rsidRPr="009D1CC6" w:rsidRDefault="009C2451" w:rsidP="00CF5F45">
            <w:pPr>
              <w:rPr>
                <w:rFonts w:cs="Arial"/>
              </w:rPr>
            </w:pPr>
          </w:p>
        </w:tc>
        <w:tc>
          <w:tcPr>
            <w:tcW w:w="1990" w:type="dxa"/>
            <w:shd w:val="clear" w:color="auto" w:fill="BDDEFF" w:themeFill="accent1" w:themeFillTint="33"/>
            <w:vAlign w:val="center"/>
          </w:tcPr>
          <w:p w14:paraId="78583696" w14:textId="77777777" w:rsidR="009C2451" w:rsidRPr="009D1CC6" w:rsidRDefault="009C2451" w:rsidP="00CF5F45">
            <w:pPr>
              <w:rPr>
                <w:rFonts w:cs="Arial"/>
              </w:rPr>
            </w:pPr>
            <w:r w:rsidRPr="009D1CC6">
              <w:rPr>
                <w:rFonts w:cs="Arial"/>
              </w:rPr>
              <w:t>1C: When p</w:t>
            </w:r>
            <w:r w:rsidRPr="009D1CC6">
              <w:rPr>
                <w:rFonts w:cs="Arial"/>
                <w:bCs/>
              </w:rPr>
              <w:t xml:space="preserve">atients (service users) </w:t>
            </w:r>
            <w:r w:rsidRPr="009D1CC6">
              <w:rPr>
                <w:rFonts w:cs="Arial"/>
              </w:rPr>
              <w:t>use the service, they are free from harm</w:t>
            </w:r>
          </w:p>
        </w:tc>
        <w:tc>
          <w:tcPr>
            <w:tcW w:w="6798" w:type="dxa"/>
            <w:vMerge/>
          </w:tcPr>
          <w:p w14:paraId="6B330210" w14:textId="77777777" w:rsidR="009C2451" w:rsidRPr="009D1CC6" w:rsidRDefault="009C2451" w:rsidP="00CF5F45">
            <w:pPr>
              <w:pStyle w:val="TableText"/>
              <w:ind w:left="720"/>
            </w:pPr>
          </w:p>
        </w:tc>
        <w:tc>
          <w:tcPr>
            <w:tcW w:w="1258" w:type="dxa"/>
            <w:vMerge/>
          </w:tcPr>
          <w:p w14:paraId="1EE31D78" w14:textId="77777777" w:rsidR="009C2451" w:rsidRPr="009D1CC6" w:rsidRDefault="009C2451" w:rsidP="00CF5F45">
            <w:pPr>
              <w:pStyle w:val="TableText"/>
              <w:jc w:val="center"/>
            </w:pPr>
          </w:p>
        </w:tc>
        <w:tc>
          <w:tcPr>
            <w:tcW w:w="2426" w:type="dxa"/>
            <w:vMerge/>
          </w:tcPr>
          <w:p w14:paraId="09EE4F9A" w14:textId="77777777" w:rsidR="009C2451" w:rsidRPr="009D1CC6" w:rsidRDefault="009C2451" w:rsidP="00CF5F45">
            <w:pPr>
              <w:pStyle w:val="TableText"/>
            </w:pPr>
          </w:p>
        </w:tc>
      </w:tr>
      <w:tr w:rsidR="009C2451" w:rsidRPr="009D1CC6" w14:paraId="30A0CEF6" w14:textId="77777777" w:rsidTr="00CF5F45">
        <w:trPr>
          <w:cantSplit/>
          <w:trHeight w:val="1134"/>
        </w:trPr>
        <w:tc>
          <w:tcPr>
            <w:tcW w:w="1124" w:type="dxa"/>
            <w:vMerge/>
            <w:shd w:val="clear" w:color="auto" w:fill="BDDEFF" w:themeFill="accent1" w:themeFillTint="33"/>
          </w:tcPr>
          <w:p w14:paraId="730FBEAC" w14:textId="77777777" w:rsidR="009C2451" w:rsidRPr="009D1CC6" w:rsidRDefault="009C2451" w:rsidP="00CF5F45">
            <w:pPr>
              <w:rPr>
                <w:rFonts w:cs="Arial"/>
              </w:rPr>
            </w:pPr>
          </w:p>
        </w:tc>
        <w:tc>
          <w:tcPr>
            <w:tcW w:w="1990" w:type="dxa"/>
            <w:shd w:val="clear" w:color="auto" w:fill="BDDEFF" w:themeFill="accent1" w:themeFillTint="33"/>
            <w:vAlign w:val="center"/>
          </w:tcPr>
          <w:p w14:paraId="3E12C39F" w14:textId="77777777" w:rsidR="009C2451" w:rsidRPr="009D1CC6" w:rsidRDefault="009C2451" w:rsidP="00CF5F45">
            <w:pPr>
              <w:rPr>
                <w:rFonts w:cs="Arial"/>
              </w:rPr>
            </w:pPr>
            <w:r w:rsidRPr="009D1CC6">
              <w:rPr>
                <w:rFonts w:cs="Arial"/>
              </w:rPr>
              <w:t xml:space="preserve">1D: </w:t>
            </w:r>
            <w:r w:rsidRPr="009D1CC6">
              <w:rPr>
                <w:rFonts w:cs="Arial"/>
                <w:bCs/>
              </w:rPr>
              <w:t xml:space="preserve">Patients (service users) </w:t>
            </w:r>
            <w:r w:rsidRPr="009D1CC6">
              <w:rPr>
                <w:rFonts w:cs="Arial"/>
              </w:rPr>
              <w:t>report positive experiences of the service</w:t>
            </w:r>
          </w:p>
        </w:tc>
        <w:tc>
          <w:tcPr>
            <w:tcW w:w="6798" w:type="dxa"/>
            <w:vMerge/>
          </w:tcPr>
          <w:p w14:paraId="70E77D68" w14:textId="77777777" w:rsidR="009C2451" w:rsidRPr="009D1CC6" w:rsidRDefault="009C2451" w:rsidP="00CF5F45">
            <w:pPr>
              <w:pStyle w:val="TableText"/>
              <w:ind w:left="720"/>
            </w:pPr>
          </w:p>
        </w:tc>
        <w:tc>
          <w:tcPr>
            <w:tcW w:w="1258" w:type="dxa"/>
            <w:vMerge/>
          </w:tcPr>
          <w:p w14:paraId="7BC2E607" w14:textId="77777777" w:rsidR="009C2451" w:rsidRPr="0062038A" w:rsidRDefault="009C2451" w:rsidP="00CF5F45">
            <w:pPr>
              <w:pStyle w:val="TableText"/>
              <w:jc w:val="center"/>
              <w:rPr>
                <w:b/>
                <w:bCs/>
              </w:rPr>
            </w:pPr>
          </w:p>
        </w:tc>
        <w:tc>
          <w:tcPr>
            <w:tcW w:w="2426" w:type="dxa"/>
            <w:vMerge/>
          </w:tcPr>
          <w:p w14:paraId="7EFFA66E" w14:textId="77777777" w:rsidR="009C2451" w:rsidRPr="009D1CC6" w:rsidRDefault="009C2451" w:rsidP="00CF5F45">
            <w:pPr>
              <w:pStyle w:val="TableText"/>
            </w:pPr>
          </w:p>
        </w:tc>
      </w:tr>
      <w:tr w:rsidR="009C2451" w:rsidRPr="009D1CC6" w14:paraId="7AB268E1" w14:textId="77777777" w:rsidTr="00CF5F45">
        <w:tc>
          <w:tcPr>
            <w:tcW w:w="9912" w:type="dxa"/>
            <w:gridSpan w:val="3"/>
            <w:shd w:val="clear" w:color="auto" w:fill="BDDEFF" w:themeFill="accent1" w:themeFillTint="33"/>
          </w:tcPr>
          <w:p w14:paraId="243076BB" w14:textId="77777777" w:rsidR="009C2451" w:rsidRPr="009D1CC6" w:rsidRDefault="009C2451" w:rsidP="00CF5F45">
            <w:pPr>
              <w:rPr>
                <w:rFonts w:cs="Arial"/>
                <w:b/>
              </w:rPr>
            </w:pPr>
            <w:r w:rsidRPr="009D1CC6">
              <w:rPr>
                <w:rFonts w:cs="Arial"/>
                <w:b/>
              </w:rPr>
              <w:t>Domain 1: Commissioned or provided services overall rating</w:t>
            </w:r>
          </w:p>
        </w:tc>
        <w:tc>
          <w:tcPr>
            <w:tcW w:w="1258" w:type="dxa"/>
          </w:tcPr>
          <w:p w14:paraId="7247A2B9" w14:textId="77777777" w:rsidR="009C2451" w:rsidRPr="0062038A" w:rsidRDefault="009C2451" w:rsidP="00CF5F45">
            <w:pPr>
              <w:pStyle w:val="TableText"/>
              <w:jc w:val="center"/>
              <w:rPr>
                <w:b/>
                <w:bCs/>
              </w:rPr>
            </w:pPr>
          </w:p>
        </w:tc>
        <w:tc>
          <w:tcPr>
            <w:tcW w:w="2426" w:type="dxa"/>
            <w:shd w:val="clear" w:color="auto" w:fill="BDDEFF" w:themeFill="accent1" w:themeFillTint="33"/>
          </w:tcPr>
          <w:p w14:paraId="413A754A" w14:textId="77777777" w:rsidR="009C2451" w:rsidRPr="009D1CC6" w:rsidRDefault="009C2451" w:rsidP="00CF5F45">
            <w:pPr>
              <w:pStyle w:val="TableText"/>
            </w:pPr>
          </w:p>
        </w:tc>
      </w:tr>
    </w:tbl>
    <w:p w14:paraId="65F5B123" w14:textId="45A1A151" w:rsidR="00BB480F" w:rsidRPr="009D1CC6" w:rsidRDefault="00BB480F" w:rsidP="00B856E9">
      <w:pPr>
        <w:pStyle w:val="Heading2"/>
      </w:pPr>
      <w:r w:rsidRPr="009D1CC6">
        <w:t>Domain 2: Workforce health and well-being</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119"/>
        <w:gridCol w:w="1698"/>
        <w:gridCol w:w="7070"/>
        <w:gridCol w:w="1325"/>
        <w:gridCol w:w="2384"/>
      </w:tblGrid>
      <w:tr w:rsidR="00975BC1" w:rsidRPr="009D1CC6" w14:paraId="07C75568" w14:textId="77777777" w:rsidTr="00DB6AF8">
        <w:tc>
          <w:tcPr>
            <w:tcW w:w="1119" w:type="dxa"/>
            <w:shd w:val="clear" w:color="auto" w:fill="BDDEFF" w:themeFill="accent1" w:themeFillTint="33"/>
          </w:tcPr>
          <w:p w14:paraId="1D99719F" w14:textId="77777777" w:rsidR="00BB480F" w:rsidRPr="009D1CC6" w:rsidRDefault="00BB480F" w:rsidP="00E33027">
            <w:pPr>
              <w:rPr>
                <w:rFonts w:cs="Arial"/>
                <w:b/>
              </w:rPr>
            </w:pPr>
            <w:r w:rsidRPr="009D1CC6">
              <w:rPr>
                <w:rFonts w:cs="Arial"/>
                <w:b/>
              </w:rPr>
              <w:t>Domain</w:t>
            </w:r>
          </w:p>
        </w:tc>
        <w:tc>
          <w:tcPr>
            <w:tcW w:w="1698" w:type="dxa"/>
            <w:shd w:val="clear" w:color="auto" w:fill="BDDEFF" w:themeFill="accent1" w:themeFillTint="33"/>
          </w:tcPr>
          <w:p w14:paraId="22A89570" w14:textId="77777777" w:rsidR="00BB480F" w:rsidRPr="009D1CC6" w:rsidRDefault="00BB480F" w:rsidP="00E33027">
            <w:pPr>
              <w:rPr>
                <w:rFonts w:cs="Arial"/>
                <w:b/>
              </w:rPr>
            </w:pPr>
            <w:r w:rsidRPr="009D1CC6">
              <w:rPr>
                <w:rFonts w:cs="Arial"/>
                <w:b/>
              </w:rPr>
              <w:t>Outcome</w:t>
            </w:r>
          </w:p>
        </w:tc>
        <w:tc>
          <w:tcPr>
            <w:tcW w:w="7070" w:type="dxa"/>
            <w:shd w:val="clear" w:color="auto" w:fill="BDDEFF" w:themeFill="accent1" w:themeFillTint="33"/>
          </w:tcPr>
          <w:p w14:paraId="3879B7C3" w14:textId="77777777" w:rsidR="00BB480F" w:rsidRPr="009D1CC6" w:rsidRDefault="00BB480F" w:rsidP="00E33027">
            <w:pPr>
              <w:rPr>
                <w:rFonts w:cs="Arial"/>
                <w:b/>
              </w:rPr>
            </w:pPr>
            <w:r w:rsidRPr="009D1CC6">
              <w:rPr>
                <w:rFonts w:cs="Arial"/>
                <w:b/>
              </w:rPr>
              <w:t xml:space="preserve">Evidence </w:t>
            </w:r>
          </w:p>
        </w:tc>
        <w:tc>
          <w:tcPr>
            <w:tcW w:w="1325" w:type="dxa"/>
            <w:shd w:val="clear" w:color="auto" w:fill="BDDEFF" w:themeFill="accent1" w:themeFillTint="33"/>
          </w:tcPr>
          <w:p w14:paraId="308B9805" w14:textId="77777777" w:rsidR="00BB480F" w:rsidRPr="009D1CC6" w:rsidRDefault="00BB480F" w:rsidP="00E33027">
            <w:pPr>
              <w:rPr>
                <w:rFonts w:cs="Arial"/>
                <w:b/>
              </w:rPr>
            </w:pPr>
            <w:r w:rsidRPr="009D1CC6">
              <w:rPr>
                <w:rFonts w:cs="Arial"/>
                <w:b/>
              </w:rPr>
              <w:t>Rating</w:t>
            </w:r>
          </w:p>
        </w:tc>
        <w:tc>
          <w:tcPr>
            <w:tcW w:w="2384" w:type="dxa"/>
            <w:shd w:val="clear" w:color="auto" w:fill="BDDEFF" w:themeFill="accent1" w:themeFillTint="33"/>
          </w:tcPr>
          <w:p w14:paraId="7653CC08" w14:textId="77777777" w:rsidR="00BB480F" w:rsidRPr="009D1CC6" w:rsidRDefault="00BB480F" w:rsidP="00E33027">
            <w:pPr>
              <w:rPr>
                <w:rFonts w:cs="Arial"/>
                <w:b/>
              </w:rPr>
            </w:pPr>
            <w:r w:rsidRPr="009D1CC6">
              <w:rPr>
                <w:rFonts w:cs="Arial"/>
                <w:b/>
              </w:rPr>
              <w:t>Owner (Dept/Lead)</w:t>
            </w:r>
          </w:p>
        </w:tc>
      </w:tr>
      <w:tr w:rsidR="00975BC1" w:rsidRPr="009D1CC6" w14:paraId="60C34EB3" w14:textId="77777777" w:rsidTr="00DB6AF8">
        <w:trPr>
          <w:cantSplit/>
          <w:trHeight w:val="1247"/>
        </w:trPr>
        <w:tc>
          <w:tcPr>
            <w:tcW w:w="1119" w:type="dxa"/>
            <w:vMerge w:val="restart"/>
            <w:shd w:val="clear" w:color="auto" w:fill="BDDEFF" w:themeFill="accent1" w:themeFillTint="33"/>
            <w:textDirection w:val="btLr"/>
            <w:vAlign w:val="center"/>
          </w:tcPr>
          <w:p w14:paraId="40BE6AFE" w14:textId="0D06989B" w:rsidR="00975BC1" w:rsidRPr="009D1CC6" w:rsidRDefault="00975BC1" w:rsidP="00E33027">
            <w:pPr>
              <w:ind w:left="113" w:right="113"/>
              <w:jc w:val="center"/>
              <w:rPr>
                <w:rFonts w:cs="Arial"/>
                <w:b/>
                <w:i/>
              </w:rPr>
            </w:pPr>
            <w:proofErr w:type="spellStart"/>
            <w:r w:rsidRPr="009D1CC6">
              <w:rPr>
                <w:rFonts w:cs="Arial"/>
                <w:b/>
                <w:i/>
              </w:rPr>
              <w:lastRenderedPageBreak/>
              <w:t>omain</w:t>
            </w:r>
            <w:proofErr w:type="spellEnd"/>
            <w:r w:rsidRPr="009D1CC6">
              <w:rPr>
                <w:rFonts w:cs="Arial"/>
                <w:b/>
                <w:i/>
              </w:rPr>
              <w:t xml:space="preserve"> 2: </w:t>
            </w:r>
          </w:p>
          <w:p w14:paraId="641B6BA9" w14:textId="77777777" w:rsidR="00975BC1" w:rsidRPr="009D1CC6" w:rsidRDefault="00975BC1" w:rsidP="00E33027">
            <w:pPr>
              <w:ind w:left="113" w:right="113"/>
              <w:jc w:val="center"/>
              <w:rPr>
                <w:rFonts w:cs="Arial"/>
                <w:b/>
                <w:i/>
              </w:rPr>
            </w:pPr>
            <w:r w:rsidRPr="009D1CC6">
              <w:rPr>
                <w:rFonts w:cs="Arial"/>
                <w:b/>
                <w:i/>
              </w:rPr>
              <w:t>Workforce health and well-being</w:t>
            </w:r>
          </w:p>
          <w:p w14:paraId="7D6004F4" w14:textId="77777777" w:rsidR="00975BC1" w:rsidRPr="009D1CC6" w:rsidRDefault="00975BC1" w:rsidP="00E33027">
            <w:pPr>
              <w:ind w:left="113" w:right="113"/>
              <w:jc w:val="center"/>
              <w:rPr>
                <w:rFonts w:cs="Arial"/>
                <w:b/>
                <w:i/>
              </w:rPr>
            </w:pPr>
          </w:p>
        </w:tc>
        <w:tc>
          <w:tcPr>
            <w:tcW w:w="1698" w:type="dxa"/>
            <w:shd w:val="clear" w:color="auto" w:fill="BDDEFF" w:themeFill="accent1" w:themeFillTint="33"/>
          </w:tcPr>
          <w:p w14:paraId="67AB0657" w14:textId="1B197236" w:rsidR="00975BC1" w:rsidRPr="009D1CC6" w:rsidRDefault="00975BC1" w:rsidP="00E33027">
            <w:pPr>
              <w:rPr>
                <w:rFonts w:cs="Arial"/>
              </w:rPr>
            </w:pPr>
            <w:r w:rsidRPr="009D1CC6">
              <w:rPr>
                <w:rFonts w:cs="Arial"/>
              </w:rPr>
              <w:t>2A: When at work, staff are provided with support to manage obesity, diabetes, asthma, COPD and mental health conditions</w:t>
            </w:r>
          </w:p>
        </w:tc>
        <w:tc>
          <w:tcPr>
            <w:tcW w:w="7070" w:type="dxa"/>
          </w:tcPr>
          <w:p w14:paraId="6899B2CE" w14:textId="4472648D" w:rsidR="007A2DE0" w:rsidRPr="007A2DE0" w:rsidRDefault="007A2DE0" w:rsidP="007A2DE0">
            <w:pPr>
              <w:pStyle w:val="TableText"/>
              <w:numPr>
                <w:ilvl w:val="0"/>
                <w:numId w:val="21"/>
              </w:numPr>
              <w:rPr>
                <w:sz w:val="23"/>
                <w:szCs w:val="23"/>
              </w:rPr>
            </w:pPr>
            <w:r w:rsidRPr="007A2DE0">
              <w:rPr>
                <w:sz w:val="23"/>
                <w:szCs w:val="23"/>
              </w:rPr>
              <w:t>Staff have access to a range of confidential internal staff support services for their physical and mental health including Occupational Health, staff psychological wellbeing service, Single point fo</w:t>
            </w:r>
            <w:r w:rsidR="00312E89">
              <w:rPr>
                <w:sz w:val="23"/>
                <w:szCs w:val="23"/>
              </w:rPr>
              <w:t>r</w:t>
            </w:r>
            <w:r w:rsidRPr="007A2DE0">
              <w:rPr>
                <w:sz w:val="23"/>
                <w:szCs w:val="23"/>
              </w:rPr>
              <w:t xml:space="preserve"> contact (SPOC) health and wellbeing access service and the preventative health and wellbeing service.</w:t>
            </w:r>
          </w:p>
          <w:p w14:paraId="6B6D830B" w14:textId="77777777" w:rsidR="007A2DE0" w:rsidRPr="007A2DE0" w:rsidRDefault="007A2DE0" w:rsidP="007A2DE0">
            <w:pPr>
              <w:pStyle w:val="TableText"/>
              <w:numPr>
                <w:ilvl w:val="0"/>
                <w:numId w:val="21"/>
              </w:numPr>
              <w:rPr>
                <w:sz w:val="23"/>
                <w:szCs w:val="23"/>
              </w:rPr>
            </w:pPr>
            <w:r w:rsidRPr="007A2DE0">
              <w:rPr>
                <w:sz w:val="23"/>
                <w:szCs w:val="23"/>
              </w:rPr>
              <w:t>Staff are able to access external confidential and independent support services such as Northants mental health talking therapies service IAPT specialist Long term conditions pathway that has psychological support for COPD, asthma and diabetes specifically, the ICN Long COVID support group and the Stronger Together NHS Staff Psychology Service.</w:t>
            </w:r>
          </w:p>
          <w:p w14:paraId="634920A6" w14:textId="77777777" w:rsidR="007A2DE0" w:rsidRPr="007A2DE0" w:rsidRDefault="007A2DE0" w:rsidP="007A2DE0">
            <w:pPr>
              <w:pStyle w:val="TableText"/>
              <w:numPr>
                <w:ilvl w:val="0"/>
                <w:numId w:val="21"/>
              </w:numPr>
              <w:rPr>
                <w:sz w:val="23"/>
                <w:szCs w:val="23"/>
              </w:rPr>
            </w:pPr>
            <w:r w:rsidRPr="007A2DE0">
              <w:rPr>
                <w:sz w:val="23"/>
                <w:szCs w:val="23"/>
              </w:rPr>
              <w:t xml:space="preserve">Staff can self-refer or receive a management referral to occupational health services and the SPOC service to address any health needs and workplace adjustments in response to having physical and mental health long terms conditions.   </w:t>
            </w:r>
          </w:p>
          <w:p w14:paraId="077670A0" w14:textId="77777777" w:rsidR="007A2DE0" w:rsidRPr="007A2DE0" w:rsidRDefault="007A2DE0" w:rsidP="007A2DE0">
            <w:pPr>
              <w:pStyle w:val="TableText"/>
              <w:numPr>
                <w:ilvl w:val="0"/>
                <w:numId w:val="21"/>
              </w:numPr>
              <w:rPr>
                <w:sz w:val="23"/>
                <w:szCs w:val="23"/>
              </w:rPr>
            </w:pPr>
            <w:r w:rsidRPr="007A2DE0">
              <w:rPr>
                <w:sz w:val="23"/>
                <w:szCs w:val="23"/>
              </w:rPr>
              <w:t xml:space="preserve">Staff are able to </w:t>
            </w:r>
            <w:proofErr w:type="spellStart"/>
            <w:r w:rsidRPr="007A2DE0">
              <w:rPr>
                <w:sz w:val="23"/>
                <w:szCs w:val="23"/>
              </w:rPr>
              <w:t>self refer</w:t>
            </w:r>
            <w:proofErr w:type="spellEnd"/>
            <w:r w:rsidRPr="007A2DE0">
              <w:rPr>
                <w:sz w:val="23"/>
                <w:szCs w:val="23"/>
              </w:rPr>
              <w:t xml:space="preserve"> to the UHN Long Term conditions support group which is a psychology led 10 week rolling programme of peer support and psychoeducational sessions to support staff managing their long term conditions.</w:t>
            </w:r>
          </w:p>
          <w:p w14:paraId="65CB6850" w14:textId="77777777" w:rsidR="007A2DE0" w:rsidRPr="007A2DE0" w:rsidRDefault="007A2DE0" w:rsidP="007A2DE0">
            <w:pPr>
              <w:pStyle w:val="TableText"/>
              <w:numPr>
                <w:ilvl w:val="0"/>
                <w:numId w:val="21"/>
              </w:numPr>
              <w:rPr>
                <w:sz w:val="23"/>
                <w:szCs w:val="23"/>
              </w:rPr>
            </w:pPr>
            <w:r w:rsidRPr="007A2DE0">
              <w:rPr>
                <w:sz w:val="23"/>
                <w:szCs w:val="23"/>
              </w:rPr>
              <w:t xml:space="preserve">Training for managers on how to have Health and Wellbeing Conversations has been introduced in 2022-23 and continues to be rolled out. The Group is currently consulting and co-producing a new policy for managing wellbeing and attendance at work, with the introduction of Health Passports amongst some of the new interventions. </w:t>
            </w:r>
          </w:p>
          <w:p w14:paraId="476DBC20" w14:textId="6548434B" w:rsidR="007A2DE0" w:rsidRPr="007A2DE0" w:rsidRDefault="007A2DE0" w:rsidP="007A2DE0">
            <w:pPr>
              <w:pStyle w:val="TableText"/>
              <w:numPr>
                <w:ilvl w:val="0"/>
                <w:numId w:val="21"/>
              </w:numPr>
              <w:rPr>
                <w:sz w:val="23"/>
                <w:szCs w:val="23"/>
              </w:rPr>
            </w:pPr>
            <w:r w:rsidRPr="007A2DE0">
              <w:rPr>
                <w:sz w:val="23"/>
                <w:szCs w:val="23"/>
              </w:rPr>
              <w:t xml:space="preserve">Staff are offered preventative health support through the H&amp;WB services including smoking cessation, health awareness campaigns and reducing obesity through a referral into the NHS smoking cessation and digital weight management programmes. A preventative programme of management training, staff support sessions are available to learn more about </w:t>
            </w:r>
            <w:r w:rsidR="00D21E66" w:rsidRPr="007A2DE0">
              <w:rPr>
                <w:sz w:val="23"/>
                <w:szCs w:val="23"/>
              </w:rPr>
              <w:t>mental</w:t>
            </w:r>
            <w:r w:rsidRPr="007A2DE0">
              <w:rPr>
                <w:sz w:val="23"/>
                <w:szCs w:val="23"/>
              </w:rPr>
              <w:t xml:space="preserve"> health conditions and psychological 1st aid, and a programme of health and wellbeing champions are being developed to support and signpost teams and departments to be able to have up to date health information, signposting for support and peer support.</w:t>
            </w:r>
          </w:p>
          <w:p w14:paraId="57D6E327" w14:textId="77777777" w:rsidR="007A2DE0" w:rsidRPr="007A2DE0" w:rsidRDefault="007A2DE0" w:rsidP="007A2DE0">
            <w:pPr>
              <w:pStyle w:val="TableText"/>
              <w:numPr>
                <w:ilvl w:val="0"/>
                <w:numId w:val="21"/>
              </w:numPr>
              <w:rPr>
                <w:sz w:val="23"/>
                <w:szCs w:val="23"/>
              </w:rPr>
            </w:pPr>
            <w:r w:rsidRPr="007A2DE0">
              <w:rPr>
                <w:sz w:val="23"/>
                <w:szCs w:val="23"/>
              </w:rPr>
              <w:lastRenderedPageBreak/>
              <w:t xml:space="preserve">Specialist Health Psychology services are available in the Staff Psychological wellbeing service to support staff with new diagnosis, symptom control and management and adjustment to long term conditions. </w:t>
            </w:r>
          </w:p>
          <w:p w14:paraId="0C31732E" w14:textId="3984CEF7" w:rsidR="007A2DE0" w:rsidRPr="001731D8" w:rsidRDefault="007A2DE0" w:rsidP="007A2DE0">
            <w:pPr>
              <w:pStyle w:val="TableText"/>
              <w:numPr>
                <w:ilvl w:val="0"/>
                <w:numId w:val="21"/>
              </w:numPr>
              <w:rPr>
                <w:sz w:val="23"/>
                <w:szCs w:val="23"/>
              </w:rPr>
            </w:pPr>
            <w:r w:rsidRPr="001731D8">
              <w:rPr>
                <w:sz w:val="23"/>
                <w:szCs w:val="23"/>
              </w:rPr>
              <w:t>There are gaps identified in services specifically to reflect the organisation’s changing ethnic profile. Links with more diverse service providers (e.g. SE Asian therapy provider) is being explored.</w:t>
            </w:r>
          </w:p>
          <w:p w14:paraId="321CFD31" w14:textId="25B78336" w:rsidR="007A2DE0" w:rsidRPr="007A2DE0" w:rsidRDefault="007A2DE0" w:rsidP="007A2DE0">
            <w:pPr>
              <w:pStyle w:val="TableText"/>
              <w:numPr>
                <w:ilvl w:val="0"/>
                <w:numId w:val="21"/>
              </w:numPr>
              <w:rPr>
                <w:sz w:val="23"/>
                <w:szCs w:val="23"/>
              </w:rPr>
            </w:pPr>
            <w:r w:rsidRPr="007A2DE0">
              <w:rPr>
                <w:sz w:val="23"/>
                <w:szCs w:val="23"/>
              </w:rPr>
              <w:t>OH services do not currently hold central records by health categories so grouped reports on key conditions (e.g. MH conditions) is not currently possible.</w:t>
            </w:r>
          </w:p>
          <w:p w14:paraId="271F21A1" w14:textId="715068EB" w:rsidR="00364F39" w:rsidRDefault="007A2DE0" w:rsidP="007A2DE0">
            <w:pPr>
              <w:pStyle w:val="TableText"/>
              <w:numPr>
                <w:ilvl w:val="0"/>
                <w:numId w:val="21"/>
              </w:numPr>
            </w:pPr>
            <w:r w:rsidRPr="007A2DE0">
              <w:rPr>
                <w:sz w:val="23"/>
                <w:szCs w:val="23"/>
              </w:rPr>
              <w:t xml:space="preserve">SPOC H&amp;WB services do </w:t>
            </w:r>
            <w:proofErr w:type="gramStart"/>
            <w:r w:rsidRPr="007A2DE0">
              <w:rPr>
                <w:sz w:val="23"/>
                <w:szCs w:val="23"/>
              </w:rPr>
              <w:t>no</w:t>
            </w:r>
            <w:proofErr w:type="gramEnd"/>
            <w:r w:rsidRPr="007A2DE0">
              <w:rPr>
                <w:sz w:val="23"/>
                <w:szCs w:val="23"/>
              </w:rPr>
              <w:t xml:space="preserve"> currently hold EDI data on referrals, but do record data on health conditions and mental health diagnosis.</w:t>
            </w:r>
          </w:p>
        </w:tc>
        <w:tc>
          <w:tcPr>
            <w:tcW w:w="1325" w:type="dxa"/>
          </w:tcPr>
          <w:p w14:paraId="416188D0" w14:textId="03FD9369" w:rsidR="00975BC1" w:rsidRPr="009610A1" w:rsidRDefault="00BE7DAA" w:rsidP="00364F39">
            <w:pPr>
              <w:pStyle w:val="TableText"/>
              <w:jc w:val="center"/>
              <w:rPr>
                <w:rFonts w:cs="Arial"/>
                <w:bCs/>
                <w:color w:val="auto"/>
              </w:rPr>
            </w:pPr>
            <w:r w:rsidRPr="009610A1">
              <w:rPr>
                <w:rFonts w:cs="Arial"/>
                <w:bCs/>
                <w:color w:val="auto"/>
              </w:rPr>
              <w:lastRenderedPageBreak/>
              <w:t>Achieving</w:t>
            </w:r>
          </w:p>
          <w:p w14:paraId="646992C8" w14:textId="77777777" w:rsidR="00EC2E55" w:rsidRDefault="00EC2E55" w:rsidP="00364F39">
            <w:pPr>
              <w:pStyle w:val="TableText"/>
              <w:jc w:val="center"/>
              <w:rPr>
                <w:rFonts w:cs="Arial"/>
                <w:b/>
                <w:color w:val="auto"/>
              </w:rPr>
            </w:pPr>
          </w:p>
          <w:p w14:paraId="10338D8E" w14:textId="77777777" w:rsidR="00EC2E55" w:rsidRDefault="00EC2E55" w:rsidP="00364F39">
            <w:pPr>
              <w:pStyle w:val="TableText"/>
              <w:jc w:val="center"/>
              <w:rPr>
                <w:rFonts w:cs="Arial"/>
                <w:b/>
                <w:color w:val="auto"/>
              </w:rPr>
            </w:pPr>
          </w:p>
          <w:p w14:paraId="3DAE28DF" w14:textId="77777777" w:rsidR="00EC2E55" w:rsidRDefault="00EC2E55" w:rsidP="00364F39">
            <w:pPr>
              <w:pStyle w:val="TableText"/>
              <w:jc w:val="center"/>
              <w:rPr>
                <w:rFonts w:cs="Arial"/>
                <w:b/>
                <w:color w:val="auto"/>
              </w:rPr>
            </w:pPr>
          </w:p>
          <w:p w14:paraId="361AB777" w14:textId="77777777" w:rsidR="00EC2E55" w:rsidRDefault="00EC2E55" w:rsidP="00364F39">
            <w:pPr>
              <w:pStyle w:val="TableText"/>
              <w:jc w:val="center"/>
              <w:rPr>
                <w:rFonts w:cs="Arial"/>
                <w:b/>
                <w:color w:val="auto"/>
              </w:rPr>
            </w:pPr>
          </w:p>
          <w:p w14:paraId="5BF0B644" w14:textId="77777777" w:rsidR="006427E9" w:rsidRDefault="006427E9" w:rsidP="00364F39">
            <w:pPr>
              <w:pStyle w:val="TableText"/>
              <w:jc w:val="center"/>
            </w:pPr>
          </w:p>
          <w:p w14:paraId="0C6B5440" w14:textId="77777777" w:rsidR="006427E9" w:rsidRDefault="006427E9" w:rsidP="00364F39">
            <w:pPr>
              <w:pStyle w:val="TableText"/>
              <w:jc w:val="center"/>
            </w:pPr>
          </w:p>
          <w:p w14:paraId="7059F826" w14:textId="53CEF5F9" w:rsidR="006427E9" w:rsidRPr="009D1CC6" w:rsidRDefault="006427E9" w:rsidP="00364F39">
            <w:pPr>
              <w:pStyle w:val="TableText"/>
              <w:jc w:val="center"/>
            </w:pPr>
          </w:p>
        </w:tc>
        <w:tc>
          <w:tcPr>
            <w:tcW w:w="2384" w:type="dxa"/>
          </w:tcPr>
          <w:p w14:paraId="4691C1C4" w14:textId="325EEAC5" w:rsidR="00975BC1" w:rsidRPr="009D1CC6" w:rsidRDefault="00DB6AF8" w:rsidP="0087548A">
            <w:pPr>
              <w:pStyle w:val="TableText"/>
            </w:pPr>
            <w:r>
              <w:t xml:space="preserve">Health &amp; Wellbeing </w:t>
            </w:r>
            <w:r w:rsidR="00F533D5">
              <w:t>Steering Group</w:t>
            </w:r>
          </w:p>
        </w:tc>
      </w:tr>
      <w:tr w:rsidR="00975BC1" w:rsidRPr="009D1CC6" w14:paraId="78655683" w14:textId="77777777" w:rsidTr="00DB6AF8">
        <w:trPr>
          <w:cantSplit/>
          <w:trHeight w:val="1247"/>
        </w:trPr>
        <w:tc>
          <w:tcPr>
            <w:tcW w:w="1119" w:type="dxa"/>
            <w:vMerge/>
            <w:shd w:val="clear" w:color="auto" w:fill="BDDEFF" w:themeFill="accent1" w:themeFillTint="33"/>
          </w:tcPr>
          <w:p w14:paraId="286AA307" w14:textId="77777777" w:rsidR="00975BC1" w:rsidRPr="009D1CC6" w:rsidRDefault="00975BC1" w:rsidP="00E33027">
            <w:pPr>
              <w:rPr>
                <w:rFonts w:cs="Arial"/>
              </w:rPr>
            </w:pPr>
          </w:p>
        </w:tc>
        <w:tc>
          <w:tcPr>
            <w:tcW w:w="1698" w:type="dxa"/>
            <w:shd w:val="clear" w:color="auto" w:fill="BDDEFF" w:themeFill="accent1" w:themeFillTint="33"/>
          </w:tcPr>
          <w:p w14:paraId="1DFCFD77" w14:textId="77777777" w:rsidR="00975BC1" w:rsidRPr="009D1CC6" w:rsidRDefault="00975BC1" w:rsidP="00E33027">
            <w:pPr>
              <w:rPr>
                <w:rFonts w:cs="Arial"/>
              </w:rPr>
            </w:pPr>
            <w:r w:rsidRPr="009D1CC6">
              <w:rPr>
                <w:rFonts w:cs="Arial"/>
              </w:rPr>
              <w:t xml:space="preserve">2B: When at work, staff are free from abuse, harassment, bullying and physical violence from any source </w:t>
            </w:r>
          </w:p>
        </w:tc>
        <w:tc>
          <w:tcPr>
            <w:tcW w:w="7070" w:type="dxa"/>
          </w:tcPr>
          <w:p w14:paraId="247568AC" w14:textId="77777777" w:rsidR="00975BC1" w:rsidRDefault="007923A1" w:rsidP="00975BC1">
            <w:pPr>
              <w:pStyle w:val="TableText"/>
              <w:numPr>
                <w:ilvl w:val="0"/>
                <w:numId w:val="21"/>
              </w:numPr>
            </w:pPr>
            <w:r>
              <w:t>Both organisations have clear policies and processes in place and a clear governance process with the ‘Violence and Aggression Reduction Group (VARG)’ meeting monthly to receive reports and provide assurance to the Board.</w:t>
            </w:r>
          </w:p>
          <w:p w14:paraId="1EFF32E2" w14:textId="77777777" w:rsidR="007923A1" w:rsidRDefault="007923A1" w:rsidP="00975BC1">
            <w:pPr>
              <w:pStyle w:val="TableText"/>
              <w:numPr>
                <w:ilvl w:val="0"/>
                <w:numId w:val="21"/>
              </w:numPr>
            </w:pPr>
            <w:r>
              <w:t>Links with Northamptonshire Police have been improved since 2022 with regular attendance at VARG meetings and an increase in prosecutions.</w:t>
            </w:r>
          </w:p>
          <w:p w14:paraId="2B9B7647" w14:textId="32D2BDB8" w:rsidR="007923A1" w:rsidRDefault="007923A1" w:rsidP="00975BC1">
            <w:pPr>
              <w:pStyle w:val="TableText"/>
              <w:numPr>
                <w:ilvl w:val="0"/>
                <w:numId w:val="21"/>
              </w:numPr>
            </w:pPr>
            <w:r>
              <w:t>Clear communication campaign launched with Northamptonshire Police; ‘Enough is enough’.</w:t>
            </w:r>
          </w:p>
          <w:p w14:paraId="237F4FD1" w14:textId="3C1D8DD5" w:rsidR="007923A1" w:rsidRDefault="007923A1" w:rsidP="007923A1">
            <w:pPr>
              <w:pStyle w:val="TableText"/>
              <w:numPr>
                <w:ilvl w:val="0"/>
                <w:numId w:val="21"/>
              </w:numPr>
            </w:pPr>
            <w:r>
              <w:t>Security is in place at both sites and are on hand to support where incidents are reported.</w:t>
            </w:r>
          </w:p>
          <w:p w14:paraId="0D94815F" w14:textId="48C53AED" w:rsidR="007923A1" w:rsidRPr="009D1CC6" w:rsidRDefault="007923A1" w:rsidP="00CB6695">
            <w:pPr>
              <w:pStyle w:val="TableText"/>
              <w:numPr>
                <w:ilvl w:val="0"/>
                <w:numId w:val="21"/>
              </w:numPr>
            </w:pPr>
            <w:r>
              <w:t xml:space="preserve">Both organisations have seen an increase </w:t>
            </w:r>
            <w:r w:rsidR="00A062A3">
              <w:t>violence, aggression and abuse against staff as reported through the National Staff Survey. This is higher in minority groups, including Black, Asian and Minority Ethnic staff, and staff with Long-term conditions or a disability.</w:t>
            </w:r>
          </w:p>
        </w:tc>
        <w:tc>
          <w:tcPr>
            <w:tcW w:w="1325" w:type="dxa"/>
          </w:tcPr>
          <w:p w14:paraId="1533C366" w14:textId="6DC2363F" w:rsidR="00975BC1" w:rsidRPr="00DB6AF8" w:rsidRDefault="009610A1" w:rsidP="00364F39">
            <w:pPr>
              <w:pStyle w:val="TableText"/>
              <w:jc w:val="center"/>
              <w:rPr>
                <w:bCs/>
              </w:rPr>
            </w:pPr>
            <w:r w:rsidRPr="00DB6AF8">
              <w:rPr>
                <w:rFonts w:cs="Arial"/>
                <w:bCs/>
                <w:color w:val="auto"/>
              </w:rPr>
              <w:t>Developing</w:t>
            </w:r>
          </w:p>
        </w:tc>
        <w:tc>
          <w:tcPr>
            <w:tcW w:w="2384" w:type="dxa"/>
          </w:tcPr>
          <w:p w14:paraId="7DDBE822" w14:textId="06E06662" w:rsidR="00975BC1" w:rsidRPr="009D1CC6" w:rsidRDefault="00F533D5" w:rsidP="0087548A">
            <w:pPr>
              <w:pStyle w:val="TableText"/>
            </w:pPr>
            <w:r>
              <w:t>Health &amp; Wellbeing Steering Group</w:t>
            </w:r>
          </w:p>
        </w:tc>
      </w:tr>
      <w:tr w:rsidR="00DB6AF8" w:rsidRPr="009D1CC6" w14:paraId="001D5BB2" w14:textId="77777777" w:rsidTr="00DB6AF8">
        <w:trPr>
          <w:cantSplit/>
          <w:trHeight w:val="495"/>
        </w:trPr>
        <w:tc>
          <w:tcPr>
            <w:tcW w:w="1119" w:type="dxa"/>
            <w:vMerge/>
            <w:shd w:val="clear" w:color="auto" w:fill="BDDEFF" w:themeFill="accent1" w:themeFillTint="33"/>
          </w:tcPr>
          <w:p w14:paraId="62B4CAA9" w14:textId="77777777" w:rsidR="00DB6AF8" w:rsidRPr="009D1CC6" w:rsidRDefault="00DB6AF8" w:rsidP="00DB6AF8">
            <w:pPr>
              <w:rPr>
                <w:rFonts w:cs="Arial"/>
              </w:rPr>
            </w:pPr>
          </w:p>
        </w:tc>
        <w:tc>
          <w:tcPr>
            <w:tcW w:w="1698" w:type="dxa"/>
            <w:shd w:val="clear" w:color="auto" w:fill="BDDEFF" w:themeFill="accent1" w:themeFillTint="33"/>
          </w:tcPr>
          <w:p w14:paraId="4CCFA4F6" w14:textId="77777777" w:rsidR="00DB6AF8" w:rsidRPr="009D1CC6" w:rsidRDefault="00DB6AF8" w:rsidP="00DB6AF8">
            <w:pPr>
              <w:rPr>
                <w:rFonts w:cs="Arial"/>
              </w:rPr>
            </w:pPr>
            <w:r w:rsidRPr="009D1CC6">
              <w:rPr>
                <w:rFonts w:cs="Arial"/>
              </w:rPr>
              <w:t>2C: Staff have access to i</w:t>
            </w:r>
            <w:r w:rsidRPr="009D1CC6">
              <w:rPr>
                <w:rFonts w:cs="Arial"/>
                <w:bCs/>
              </w:rPr>
              <w:t xml:space="preserve">ndependent </w:t>
            </w:r>
            <w:r w:rsidRPr="009D1CC6">
              <w:rPr>
                <w:rFonts w:cs="Arial"/>
              </w:rPr>
              <w:t>support and advice when suffering from stress, abuse, bullying harassment and physical violence from any source</w:t>
            </w:r>
          </w:p>
        </w:tc>
        <w:tc>
          <w:tcPr>
            <w:tcW w:w="7070" w:type="dxa"/>
          </w:tcPr>
          <w:p w14:paraId="45B2463F" w14:textId="77777777" w:rsidR="00DB6AF8" w:rsidRDefault="00DB6AF8" w:rsidP="00DB6AF8">
            <w:pPr>
              <w:pStyle w:val="TableText"/>
              <w:numPr>
                <w:ilvl w:val="0"/>
                <w:numId w:val="21"/>
              </w:numPr>
            </w:pPr>
            <w:r>
              <w:t>Staff have access to a range of confidential internal staff support services for coping with workplace bullying and harassment and following any physical violence through multiple routes including self-referrals, management referral and a pathway of referral from the VARG working group reviewing violence and aggression incidents in the hospitals. These referrals are supported through the NGH SPOC H&amp;WB service and Open Office Listening Service at KGH</w:t>
            </w:r>
          </w:p>
          <w:p w14:paraId="633DAF0F" w14:textId="77777777" w:rsidR="00DB6AF8" w:rsidRDefault="00DB6AF8" w:rsidP="00DB6AF8">
            <w:pPr>
              <w:pStyle w:val="TableText"/>
              <w:numPr>
                <w:ilvl w:val="0"/>
                <w:numId w:val="21"/>
              </w:numPr>
            </w:pPr>
            <w:r>
              <w:t xml:space="preserve">KGH Open Office Listening Service has a specifically commissioned BAME peer support worker – the role provides outreach H&amp;WB service engagement with diverse cultural staff groups. </w:t>
            </w:r>
          </w:p>
          <w:p w14:paraId="5071B9ED" w14:textId="77777777" w:rsidR="00DB6AF8" w:rsidRDefault="00DB6AF8" w:rsidP="00DB6AF8">
            <w:pPr>
              <w:pStyle w:val="TableText"/>
              <w:numPr>
                <w:ilvl w:val="0"/>
                <w:numId w:val="21"/>
              </w:numPr>
            </w:pPr>
            <w:r>
              <w:t>Staff have access to the UHN Independent Domestic Violence Advocate (IDVA) commissioned by the ICN and based 4 days per week across the UHN hospitals. This provides specialist legal and safeguarding support for those experiencing DV.</w:t>
            </w:r>
          </w:p>
          <w:p w14:paraId="35F68D05" w14:textId="74CF4984" w:rsidR="00DB6AF8" w:rsidRDefault="00DB6AF8" w:rsidP="00DB6AF8">
            <w:pPr>
              <w:pStyle w:val="TableText"/>
              <w:numPr>
                <w:ilvl w:val="0"/>
                <w:numId w:val="21"/>
              </w:numPr>
            </w:pPr>
            <w:r>
              <w:t>Staff are able to access external confidential and independent support services such as Northants mental health talking therapies service IAPT and the Stronger Together NHS Staff Psychology Service, Northampton Domestic Abuse Service (NDAS) and VOICE victim support services.</w:t>
            </w:r>
          </w:p>
          <w:p w14:paraId="4E8CBD13" w14:textId="77777777" w:rsidR="00DB6AF8" w:rsidRDefault="00DB6AF8" w:rsidP="00DB6AF8">
            <w:pPr>
              <w:pStyle w:val="TableText"/>
              <w:numPr>
                <w:ilvl w:val="0"/>
                <w:numId w:val="21"/>
              </w:numPr>
            </w:pPr>
            <w:r>
              <w:t xml:space="preserve">Both organisations have trained TRIM (Trauma Risk Management) practitioners who are on hand to provide debrief and 1:1 </w:t>
            </w:r>
            <w:proofErr w:type="spellStart"/>
            <w:r>
              <w:t>TRiM</w:t>
            </w:r>
            <w:proofErr w:type="spellEnd"/>
            <w:r>
              <w:t xml:space="preserve"> assessments t for staff exposed to potentially traumatic incidents.</w:t>
            </w:r>
          </w:p>
          <w:p w14:paraId="083E6DF4" w14:textId="77596B8B" w:rsidR="00DB6AF8" w:rsidRDefault="00DB6AF8" w:rsidP="00DB6AF8">
            <w:pPr>
              <w:pStyle w:val="TableText"/>
              <w:numPr>
                <w:ilvl w:val="0"/>
                <w:numId w:val="21"/>
              </w:numPr>
            </w:pPr>
            <w:r>
              <w:t xml:space="preserve">Both sites have space for staff to relax and gain support; </w:t>
            </w:r>
            <w:proofErr w:type="spellStart"/>
            <w:r>
              <w:t>OurSpace</w:t>
            </w:r>
            <w:proofErr w:type="spellEnd"/>
            <w:r>
              <w:t xml:space="preserve"> at NGH and the Care Café in KGH. </w:t>
            </w:r>
          </w:p>
          <w:p w14:paraId="0E1652D7" w14:textId="7A0315B6" w:rsidR="00DB6AF8" w:rsidRDefault="00DB6AF8" w:rsidP="00DB6AF8">
            <w:pPr>
              <w:pStyle w:val="TableText"/>
              <w:numPr>
                <w:ilvl w:val="0"/>
                <w:numId w:val="21"/>
              </w:numPr>
            </w:pPr>
            <w:r>
              <w:t>Both Hospitals have a Freedom to speak up (FTSU) guardian whose role is to provide independent advice and support to enable staff to speak up about concerns, including bullying and harassment.</w:t>
            </w:r>
          </w:p>
          <w:p w14:paraId="54F85CF7" w14:textId="6E2B6D83" w:rsidR="00DB6AF8" w:rsidRPr="009D1CC6" w:rsidRDefault="00DB6AF8" w:rsidP="00DB6AF8">
            <w:pPr>
              <w:pStyle w:val="TableText"/>
              <w:numPr>
                <w:ilvl w:val="0"/>
                <w:numId w:val="21"/>
              </w:numPr>
            </w:pPr>
            <w:r>
              <w:t xml:space="preserve">Both organisations have seen a slight decrease in bullying and harassment from other colleagues, including staff with </w:t>
            </w:r>
            <w:r>
              <w:lastRenderedPageBreak/>
              <w:t xml:space="preserve">protected characteristics. However, both organisations are worse than the national average, and have seen increasing rates of bullying, harassment and violence from the public. </w:t>
            </w:r>
          </w:p>
        </w:tc>
        <w:tc>
          <w:tcPr>
            <w:tcW w:w="1325" w:type="dxa"/>
          </w:tcPr>
          <w:p w14:paraId="153D9BE4" w14:textId="77777777" w:rsidR="00DB6AF8" w:rsidRPr="009610A1" w:rsidRDefault="00DB6AF8" w:rsidP="00DB6AF8">
            <w:pPr>
              <w:pStyle w:val="TableText"/>
              <w:jc w:val="center"/>
              <w:rPr>
                <w:rFonts w:cs="Arial"/>
                <w:bCs/>
                <w:color w:val="auto"/>
              </w:rPr>
            </w:pPr>
            <w:r w:rsidRPr="009610A1">
              <w:rPr>
                <w:rFonts w:cs="Arial"/>
                <w:bCs/>
                <w:color w:val="auto"/>
              </w:rPr>
              <w:lastRenderedPageBreak/>
              <w:t>Achieving</w:t>
            </w:r>
          </w:p>
          <w:p w14:paraId="7792377E" w14:textId="77777777" w:rsidR="00DB6AF8" w:rsidRDefault="00DB6AF8" w:rsidP="00DB6AF8">
            <w:pPr>
              <w:pStyle w:val="TableText"/>
              <w:jc w:val="center"/>
              <w:rPr>
                <w:rFonts w:cs="Arial"/>
                <w:b/>
                <w:color w:val="auto"/>
              </w:rPr>
            </w:pPr>
          </w:p>
          <w:p w14:paraId="3F67C96B" w14:textId="77777777" w:rsidR="00DB6AF8" w:rsidRDefault="00DB6AF8" w:rsidP="00DB6AF8">
            <w:pPr>
              <w:pStyle w:val="TableText"/>
              <w:jc w:val="center"/>
              <w:rPr>
                <w:rFonts w:cs="Arial"/>
                <w:b/>
                <w:color w:val="auto"/>
              </w:rPr>
            </w:pPr>
          </w:p>
          <w:p w14:paraId="0BA6F666" w14:textId="77777777" w:rsidR="00DB6AF8" w:rsidRDefault="00DB6AF8" w:rsidP="00DB6AF8">
            <w:pPr>
              <w:pStyle w:val="TableText"/>
              <w:jc w:val="center"/>
              <w:rPr>
                <w:rFonts w:cs="Arial"/>
                <w:b/>
                <w:color w:val="auto"/>
              </w:rPr>
            </w:pPr>
          </w:p>
          <w:p w14:paraId="1F476972" w14:textId="77777777" w:rsidR="00DB6AF8" w:rsidRDefault="00DB6AF8" w:rsidP="00DB6AF8">
            <w:pPr>
              <w:pStyle w:val="TableText"/>
              <w:jc w:val="center"/>
              <w:rPr>
                <w:rFonts w:cs="Arial"/>
                <w:b/>
                <w:color w:val="auto"/>
              </w:rPr>
            </w:pPr>
          </w:p>
          <w:p w14:paraId="11A4EB58" w14:textId="77777777" w:rsidR="00DB6AF8" w:rsidRDefault="00DB6AF8" w:rsidP="00DB6AF8">
            <w:pPr>
              <w:pStyle w:val="TableText"/>
              <w:jc w:val="center"/>
            </w:pPr>
          </w:p>
          <w:p w14:paraId="7EE559E5" w14:textId="77777777" w:rsidR="00DB6AF8" w:rsidRDefault="00DB6AF8" w:rsidP="00DB6AF8">
            <w:pPr>
              <w:pStyle w:val="TableText"/>
              <w:jc w:val="center"/>
            </w:pPr>
          </w:p>
          <w:p w14:paraId="57134346" w14:textId="1FDDA632" w:rsidR="00DB6AF8" w:rsidRPr="009D1CC6" w:rsidRDefault="00DB6AF8" w:rsidP="00DB6AF8">
            <w:pPr>
              <w:pStyle w:val="TableText"/>
              <w:jc w:val="center"/>
            </w:pPr>
          </w:p>
        </w:tc>
        <w:tc>
          <w:tcPr>
            <w:tcW w:w="2384" w:type="dxa"/>
          </w:tcPr>
          <w:p w14:paraId="1908C294" w14:textId="2ECCA90E" w:rsidR="00DB6AF8" w:rsidRPr="009D1CC6" w:rsidRDefault="00F533D5" w:rsidP="00DB6AF8">
            <w:pPr>
              <w:pStyle w:val="TableText"/>
            </w:pPr>
            <w:r>
              <w:t>Health &amp; Wellbeing Steering Group</w:t>
            </w:r>
          </w:p>
        </w:tc>
      </w:tr>
      <w:tr w:rsidR="00DB6AF8" w:rsidRPr="009D1CC6" w14:paraId="7007755E" w14:textId="77777777" w:rsidTr="00DB6AF8">
        <w:trPr>
          <w:cantSplit/>
          <w:trHeight w:val="1247"/>
        </w:trPr>
        <w:tc>
          <w:tcPr>
            <w:tcW w:w="1119" w:type="dxa"/>
            <w:vMerge/>
            <w:shd w:val="clear" w:color="auto" w:fill="BDDEFF" w:themeFill="accent1" w:themeFillTint="33"/>
          </w:tcPr>
          <w:p w14:paraId="01536A6C" w14:textId="77777777" w:rsidR="00DB6AF8" w:rsidRPr="009D1CC6" w:rsidRDefault="00DB6AF8" w:rsidP="00DB6AF8">
            <w:pPr>
              <w:rPr>
                <w:rFonts w:cs="Arial"/>
              </w:rPr>
            </w:pPr>
          </w:p>
        </w:tc>
        <w:tc>
          <w:tcPr>
            <w:tcW w:w="1698" w:type="dxa"/>
            <w:shd w:val="clear" w:color="auto" w:fill="BDDEFF" w:themeFill="accent1" w:themeFillTint="33"/>
          </w:tcPr>
          <w:p w14:paraId="782671E5" w14:textId="77777777" w:rsidR="00DB6AF8" w:rsidRPr="009D1CC6" w:rsidRDefault="00DB6AF8" w:rsidP="00DB6AF8">
            <w:pPr>
              <w:rPr>
                <w:rFonts w:cs="Arial"/>
              </w:rPr>
            </w:pPr>
            <w:r w:rsidRPr="009D1CC6">
              <w:rPr>
                <w:rFonts w:cs="Arial"/>
              </w:rPr>
              <w:t>2D: Staff recommend the organisation as a place to work and receive treatment</w:t>
            </w:r>
          </w:p>
        </w:tc>
        <w:tc>
          <w:tcPr>
            <w:tcW w:w="7070" w:type="dxa"/>
          </w:tcPr>
          <w:p w14:paraId="0B7FC3FD" w14:textId="77777777" w:rsidR="00DB6AF8" w:rsidRDefault="00DB6AF8" w:rsidP="00DB6AF8">
            <w:pPr>
              <w:pStyle w:val="TableText"/>
              <w:numPr>
                <w:ilvl w:val="0"/>
                <w:numId w:val="22"/>
              </w:numPr>
            </w:pPr>
            <w:r>
              <w:t>Across both Hospitals, the 21-30 age group was least positive about the organisation’s action on health and wellbeing (NSS q11a), with the 51-65 and 66+ age groups being most positive.</w:t>
            </w:r>
          </w:p>
          <w:p w14:paraId="460BD94C" w14:textId="77777777" w:rsidR="00DB6AF8" w:rsidRDefault="00DB6AF8" w:rsidP="00DB6AF8">
            <w:pPr>
              <w:pStyle w:val="TableText"/>
              <w:numPr>
                <w:ilvl w:val="0"/>
                <w:numId w:val="22"/>
              </w:numPr>
            </w:pPr>
            <w:r>
              <w:t>Across both Hospitals, BAME staff were more likely to advocate on behalf of the hospital as a place to work and receive care, despite having poorer experiences at work (as detailed above).</w:t>
            </w:r>
          </w:p>
          <w:p w14:paraId="75EC6366" w14:textId="7DABCD0D" w:rsidR="00DB6AF8" w:rsidRPr="009D1CC6" w:rsidRDefault="00DB6AF8" w:rsidP="00DB6AF8">
            <w:pPr>
              <w:pStyle w:val="TableText"/>
              <w:numPr>
                <w:ilvl w:val="0"/>
                <w:numId w:val="22"/>
              </w:numPr>
            </w:pPr>
            <w:r>
              <w:t>Work is underway through the ‘Be the change’ programme to improve the People experience in the organisation, with a key focus on: Values, Inclusion, Leadership and teamwork, and Reward and recognition.</w:t>
            </w:r>
          </w:p>
        </w:tc>
        <w:tc>
          <w:tcPr>
            <w:tcW w:w="1325" w:type="dxa"/>
          </w:tcPr>
          <w:p w14:paraId="22509B46" w14:textId="4E9EA910" w:rsidR="00DB6AF8" w:rsidRPr="009610A1" w:rsidRDefault="00DB6AF8" w:rsidP="00DB6AF8">
            <w:pPr>
              <w:pStyle w:val="TableText"/>
              <w:jc w:val="center"/>
              <w:rPr>
                <w:rFonts w:cs="Arial"/>
                <w:bCs/>
                <w:color w:val="auto"/>
              </w:rPr>
            </w:pPr>
            <w:r>
              <w:rPr>
                <w:rFonts w:cs="Arial"/>
                <w:bCs/>
                <w:color w:val="auto"/>
              </w:rPr>
              <w:t>Developing</w:t>
            </w:r>
          </w:p>
          <w:p w14:paraId="0961A0CD" w14:textId="77777777" w:rsidR="00DB6AF8" w:rsidRDefault="00DB6AF8" w:rsidP="00DB6AF8">
            <w:pPr>
              <w:pStyle w:val="TableText"/>
              <w:jc w:val="center"/>
              <w:rPr>
                <w:rFonts w:cs="Arial"/>
                <w:b/>
                <w:color w:val="auto"/>
              </w:rPr>
            </w:pPr>
          </w:p>
          <w:p w14:paraId="0162A02F" w14:textId="77777777" w:rsidR="00DB6AF8" w:rsidRDefault="00DB6AF8" w:rsidP="00DB6AF8">
            <w:pPr>
              <w:pStyle w:val="TableText"/>
              <w:jc w:val="center"/>
              <w:rPr>
                <w:rFonts w:cs="Arial"/>
                <w:b/>
                <w:color w:val="auto"/>
              </w:rPr>
            </w:pPr>
          </w:p>
          <w:p w14:paraId="3FA7D808" w14:textId="77777777" w:rsidR="00DB6AF8" w:rsidRDefault="00DB6AF8" w:rsidP="00DB6AF8">
            <w:pPr>
              <w:pStyle w:val="TableText"/>
              <w:jc w:val="center"/>
              <w:rPr>
                <w:rFonts w:cs="Arial"/>
                <w:b/>
                <w:color w:val="auto"/>
              </w:rPr>
            </w:pPr>
          </w:p>
          <w:p w14:paraId="25178426" w14:textId="77777777" w:rsidR="00DB6AF8" w:rsidRDefault="00DB6AF8" w:rsidP="00DB6AF8">
            <w:pPr>
              <w:pStyle w:val="TableText"/>
              <w:jc w:val="center"/>
              <w:rPr>
                <w:rFonts w:cs="Arial"/>
                <w:b/>
                <w:color w:val="auto"/>
              </w:rPr>
            </w:pPr>
          </w:p>
          <w:p w14:paraId="1235718F" w14:textId="77777777" w:rsidR="00DB6AF8" w:rsidRDefault="00DB6AF8" w:rsidP="00DB6AF8">
            <w:pPr>
              <w:pStyle w:val="TableText"/>
              <w:jc w:val="center"/>
            </w:pPr>
          </w:p>
          <w:p w14:paraId="275246EE" w14:textId="77777777" w:rsidR="00DB6AF8" w:rsidRDefault="00DB6AF8" w:rsidP="00DB6AF8">
            <w:pPr>
              <w:pStyle w:val="TableText"/>
              <w:jc w:val="center"/>
            </w:pPr>
          </w:p>
          <w:p w14:paraId="08AE335F" w14:textId="5F38D502" w:rsidR="00DB6AF8" w:rsidRPr="009D1CC6" w:rsidRDefault="00DB6AF8" w:rsidP="00DB6AF8">
            <w:pPr>
              <w:pStyle w:val="TableText"/>
              <w:jc w:val="center"/>
            </w:pPr>
          </w:p>
        </w:tc>
        <w:tc>
          <w:tcPr>
            <w:tcW w:w="2384" w:type="dxa"/>
          </w:tcPr>
          <w:p w14:paraId="1DF58BF8" w14:textId="7DD979AE" w:rsidR="00DB6AF8" w:rsidRPr="009D1CC6" w:rsidRDefault="00F533D5" w:rsidP="00DB6AF8">
            <w:pPr>
              <w:pStyle w:val="TableText"/>
            </w:pPr>
            <w:r>
              <w:t>Health &amp; Wellbeing Steering Group</w:t>
            </w:r>
          </w:p>
        </w:tc>
      </w:tr>
      <w:tr w:rsidR="0091457A" w:rsidRPr="009D1CC6" w14:paraId="181280ED" w14:textId="77777777" w:rsidTr="00DB6AF8">
        <w:tc>
          <w:tcPr>
            <w:tcW w:w="9887" w:type="dxa"/>
            <w:gridSpan w:val="3"/>
            <w:shd w:val="clear" w:color="auto" w:fill="BDDEFF" w:themeFill="accent1" w:themeFillTint="33"/>
          </w:tcPr>
          <w:p w14:paraId="692E93E7" w14:textId="77777777" w:rsidR="00BB480F" w:rsidRPr="009D1CC6" w:rsidRDefault="00BB480F" w:rsidP="00E33027">
            <w:pPr>
              <w:rPr>
                <w:rFonts w:cs="Arial"/>
                <w:b/>
              </w:rPr>
            </w:pPr>
            <w:r w:rsidRPr="009D1CC6">
              <w:rPr>
                <w:rFonts w:cs="Arial"/>
                <w:b/>
              </w:rPr>
              <w:t>Domain 2: Workforce health and well-being overall rating</w:t>
            </w:r>
          </w:p>
        </w:tc>
        <w:tc>
          <w:tcPr>
            <w:tcW w:w="1325" w:type="dxa"/>
          </w:tcPr>
          <w:p w14:paraId="3AECEF64" w14:textId="076654CB" w:rsidR="00BB480F" w:rsidRPr="006837AB" w:rsidRDefault="006837AB" w:rsidP="00364F39">
            <w:pPr>
              <w:jc w:val="center"/>
              <w:rPr>
                <w:rFonts w:cs="Arial"/>
              </w:rPr>
            </w:pPr>
            <w:r w:rsidRPr="006837AB">
              <w:rPr>
                <w:rFonts w:cs="Arial"/>
                <w:color w:val="auto"/>
              </w:rPr>
              <w:t>Developing</w:t>
            </w:r>
          </w:p>
        </w:tc>
        <w:tc>
          <w:tcPr>
            <w:tcW w:w="2384" w:type="dxa"/>
            <w:shd w:val="clear" w:color="auto" w:fill="BDDEFF" w:themeFill="accent1" w:themeFillTint="33"/>
          </w:tcPr>
          <w:p w14:paraId="2EA8AD70" w14:textId="77777777" w:rsidR="00BB480F" w:rsidRPr="009D1CC6" w:rsidRDefault="00BB480F" w:rsidP="00E33027">
            <w:pPr>
              <w:rPr>
                <w:rFonts w:cs="Arial"/>
              </w:rPr>
            </w:pPr>
          </w:p>
        </w:tc>
      </w:tr>
    </w:tbl>
    <w:p w14:paraId="18E8B268" w14:textId="77777777" w:rsidR="00BB480F" w:rsidRPr="009D1CC6" w:rsidRDefault="00BB480F" w:rsidP="00BB480F">
      <w:pPr>
        <w:rPr>
          <w:rFonts w:cs="Arial"/>
        </w:rPr>
      </w:pPr>
    </w:p>
    <w:p w14:paraId="3210FD00" w14:textId="77777777" w:rsidR="00BB480F" w:rsidRPr="009D1CC6" w:rsidRDefault="00BB480F" w:rsidP="00BB480F">
      <w:pPr>
        <w:rPr>
          <w:rFonts w:cs="Arial"/>
        </w:rPr>
      </w:pPr>
      <w:r w:rsidRPr="009D1CC6">
        <w:rPr>
          <w:rFonts w:cs="Arial"/>
        </w:rPr>
        <w:br w:type="page"/>
      </w:r>
    </w:p>
    <w:p w14:paraId="50C6ABD6" w14:textId="77777777" w:rsidR="00BB480F" w:rsidRPr="009D1CC6" w:rsidRDefault="00BB480F" w:rsidP="0087548A">
      <w:pPr>
        <w:pStyle w:val="Heading2"/>
      </w:pPr>
      <w:r w:rsidRPr="009D1CC6">
        <w:lastRenderedPageBreak/>
        <w:t>Domain 3: Inclusive leadership</w:t>
      </w:r>
    </w:p>
    <w:tbl>
      <w:tblPr>
        <w:tblStyle w:val="TableGrid"/>
        <w:tblW w:w="0" w:type="auto"/>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080"/>
        <w:gridCol w:w="2262"/>
        <w:gridCol w:w="6084"/>
        <w:gridCol w:w="1886"/>
        <w:gridCol w:w="2284"/>
      </w:tblGrid>
      <w:tr w:rsidR="00CB2C51" w:rsidRPr="009D1CC6" w14:paraId="07F3F03C" w14:textId="77777777" w:rsidTr="00A5665F">
        <w:trPr>
          <w:trHeight w:val="364"/>
        </w:trPr>
        <w:tc>
          <w:tcPr>
            <w:tcW w:w="1080" w:type="dxa"/>
            <w:shd w:val="clear" w:color="auto" w:fill="BDDEFF" w:themeFill="accent1" w:themeFillTint="33"/>
          </w:tcPr>
          <w:p w14:paraId="70BB0B7A" w14:textId="77777777" w:rsidR="00BB480F" w:rsidRPr="009D1CC6" w:rsidRDefault="00BB480F" w:rsidP="002D0893">
            <w:pPr>
              <w:spacing w:afterLines="60" w:after="144" w:line="259" w:lineRule="auto"/>
              <w:rPr>
                <w:rFonts w:cs="Arial"/>
                <w:b/>
              </w:rPr>
            </w:pPr>
            <w:r w:rsidRPr="009D1CC6">
              <w:rPr>
                <w:rFonts w:cs="Arial"/>
                <w:b/>
              </w:rPr>
              <w:t>Domain</w:t>
            </w:r>
          </w:p>
        </w:tc>
        <w:tc>
          <w:tcPr>
            <w:tcW w:w="2262" w:type="dxa"/>
            <w:shd w:val="clear" w:color="auto" w:fill="BDDEFF" w:themeFill="accent1" w:themeFillTint="33"/>
          </w:tcPr>
          <w:p w14:paraId="52B4463F" w14:textId="77777777" w:rsidR="00BB480F" w:rsidRPr="009D1CC6" w:rsidRDefault="00BB480F" w:rsidP="002D0893">
            <w:pPr>
              <w:spacing w:afterLines="60" w:after="144" w:line="259" w:lineRule="auto"/>
              <w:rPr>
                <w:rFonts w:cs="Arial"/>
                <w:b/>
              </w:rPr>
            </w:pPr>
            <w:r w:rsidRPr="009D1CC6">
              <w:rPr>
                <w:rFonts w:cs="Arial"/>
                <w:b/>
              </w:rPr>
              <w:t>Outcome</w:t>
            </w:r>
          </w:p>
        </w:tc>
        <w:tc>
          <w:tcPr>
            <w:tcW w:w="6084" w:type="dxa"/>
            <w:shd w:val="clear" w:color="auto" w:fill="BDDEFF" w:themeFill="accent1" w:themeFillTint="33"/>
          </w:tcPr>
          <w:p w14:paraId="68F7D3B3" w14:textId="77777777" w:rsidR="00BB480F" w:rsidRPr="009D1CC6" w:rsidRDefault="00BB480F" w:rsidP="002D0893">
            <w:pPr>
              <w:spacing w:afterLines="60" w:after="144" w:line="259" w:lineRule="auto"/>
              <w:rPr>
                <w:rFonts w:cs="Arial"/>
                <w:b/>
              </w:rPr>
            </w:pPr>
            <w:r w:rsidRPr="009D1CC6">
              <w:rPr>
                <w:rFonts w:cs="Arial"/>
                <w:b/>
              </w:rPr>
              <w:t xml:space="preserve">Evidence </w:t>
            </w:r>
          </w:p>
        </w:tc>
        <w:tc>
          <w:tcPr>
            <w:tcW w:w="1886" w:type="dxa"/>
            <w:shd w:val="clear" w:color="auto" w:fill="BDDEFF" w:themeFill="accent1" w:themeFillTint="33"/>
          </w:tcPr>
          <w:p w14:paraId="06815AB0" w14:textId="77777777" w:rsidR="00BB480F" w:rsidRPr="009D1CC6" w:rsidRDefault="00BB480F" w:rsidP="002D0893">
            <w:pPr>
              <w:spacing w:afterLines="60" w:after="144" w:line="259" w:lineRule="auto"/>
              <w:rPr>
                <w:rFonts w:cs="Arial"/>
                <w:b/>
              </w:rPr>
            </w:pPr>
            <w:r w:rsidRPr="009D1CC6">
              <w:rPr>
                <w:rFonts w:cs="Arial"/>
                <w:b/>
              </w:rPr>
              <w:t>Rating</w:t>
            </w:r>
          </w:p>
        </w:tc>
        <w:tc>
          <w:tcPr>
            <w:tcW w:w="2284" w:type="dxa"/>
            <w:shd w:val="clear" w:color="auto" w:fill="BDDEFF" w:themeFill="accent1" w:themeFillTint="33"/>
          </w:tcPr>
          <w:p w14:paraId="2B80D18E" w14:textId="77777777" w:rsidR="00BB480F" w:rsidRPr="009D1CC6" w:rsidRDefault="00BB480F" w:rsidP="002D0893">
            <w:pPr>
              <w:spacing w:afterLines="60" w:after="144"/>
              <w:rPr>
                <w:rFonts w:cs="Arial"/>
                <w:b/>
              </w:rPr>
            </w:pPr>
            <w:r w:rsidRPr="009D1CC6">
              <w:rPr>
                <w:rFonts w:cs="Arial"/>
                <w:b/>
              </w:rPr>
              <w:t>Owner (Dept/Lead)</w:t>
            </w:r>
          </w:p>
        </w:tc>
      </w:tr>
      <w:tr w:rsidR="00BB480F" w:rsidRPr="009D1CC6" w14:paraId="3760CE31" w14:textId="77777777" w:rsidTr="00A5665F">
        <w:trPr>
          <w:cantSplit/>
          <w:trHeight w:val="1632"/>
        </w:trPr>
        <w:tc>
          <w:tcPr>
            <w:tcW w:w="1080" w:type="dxa"/>
            <w:vMerge w:val="restart"/>
            <w:shd w:val="clear" w:color="auto" w:fill="BDDEFF" w:themeFill="accent1" w:themeFillTint="33"/>
            <w:textDirection w:val="btLr"/>
            <w:vAlign w:val="center"/>
          </w:tcPr>
          <w:p w14:paraId="3453D164" w14:textId="77777777" w:rsidR="00BB480F" w:rsidRPr="009D1CC6" w:rsidRDefault="00BB480F" w:rsidP="00E33027">
            <w:pPr>
              <w:jc w:val="center"/>
              <w:rPr>
                <w:rFonts w:cs="Arial"/>
                <w:b/>
                <w:i/>
              </w:rPr>
            </w:pPr>
            <w:r w:rsidRPr="009D1CC6">
              <w:rPr>
                <w:rFonts w:cs="Arial"/>
                <w:b/>
                <w:i/>
              </w:rPr>
              <w:t>Domain 3:</w:t>
            </w:r>
          </w:p>
          <w:p w14:paraId="0E94A786" w14:textId="77777777" w:rsidR="00BB480F" w:rsidRPr="009D1CC6" w:rsidRDefault="00BB480F" w:rsidP="00E33027">
            <w:pPr>
              <w:jc w:val="center"/>
              <w:rPr>
                <w:rFonts w:cs="Arial"/>
                <w:b/>
                <w:i/>
              </w:rPr>
            </w:pPr>
            <w:r w:rsidRPr="009D1CC6">
              <w:rPr>
                <w:rFonts w:cs="Arial"/>
                <w:b/>
                <w:i/>
              </w:rPr>
              <w:t xml:space="preserve"> Inclusive leadership</w:t>
            </w:r>
          </w:p>
          <w:p w14:paraId="77EB6A03" w14:textId="77777777" w:rsidR="00BB480F" w:rsidRPr="009D1CC6" w:rsidRDefault="00BB480F" w:rsidP="00E33027">
            <w:pPr>
              <w:spacing w:after="160" w:line="259" w:lineRule="auto"/>
              <w:jc w:val="center"/>
              <w:rPr>
                <w:rFonts w:cs="Arial"/>
              </w:rPr>
            </w:pPr>
          </w:p>
        </w:tc>
        <w:tc>
          <w:tcPr>
            <w:tcW w:w="2262" w:type="dxa"/>
            <w:shd w:val="clear" w:color="auto" w:fill="BDDEFF" w:themeFill="accent1" w:themeFillTint="33"/>
          </w:tcPr>
          <w:p w14:paraId="1D4EE6FC" w14:textId="77777777" w:rsidR="00BB480F" w:rsidRPr="009D1CC6" w:rsidRDefault="00BB480F" w:rsidP="002D0893">
            <w:pPr>
              <w:spacing w:line="259" w:lineRule="auto"/>
              <w:rPr>
                <w:rFonts w:cs="Arial"/>
              </w:rPr>
            </w:pPr>
            <w:r w:rsidRPr="009D1CC6">
              <w:rPr>
                <w:rFonts w:cs="Arial"/>
              </w:rPr>
              <w:t>3A: Board members, system leaders (Band 9 and VSM) and those with line management responsibilities routinely demonstrate their understanding of, and commitment to, equality and health inequalities</w:t>
            </w:r>
          </w:p>
        </w:tc>
        <w:tc>
          <w:tcPr>
            <w:tcW w:w="6084" w:type="dxa"/>
          </w:tcPr>
          <w:p w14:paraId="43ECA924" w14:textId="34B85E25" w:rsidR="00305CD8" w:rsidRDefault="00305CD8" w:rsidP="00305CD8">
            <w:pPr>
              <w:pStyle w:val="TableText"/>
              <w:numPr>
                <w:ilvl w:val="0"/>
                <w:numId w:val="24"/>
              </w:numPr>
              <w:ind w:left="492"/>
            </w:pPr>
            <w:r>
              <w:t>Group CEOs, Directors of People and COOs all taking part in ICN Reverse Mentoring programme (</w:t>
            </w:r>
            <w:proofErr w:type="spellStart"/>
            <w:r>
              <w:t>ReMEDI</w:t>
            </w:r>
            <w:proofErr w:type="spellEnd"/>
            <w:r>
              <w:t xml:space="preserve"> project)</w:t>
            </w:r>
            <w:r w:rsidR="001731D8">
              <w:t xml:space="preserve">. </w:t>
            </w:r>
            <w:r>
              <w:t>Reverse mentoring offered in both Hospital sites</w:t>
            </w:r>
          </w:p>
          <w:p w14:paraId="32FD9A82" w14:textId="0D79B19B" w:rsidR="00305CD8" w:rsidRDefault="001F3DE1" w:rsidP="00305CD8">
            <w:pPr>
              <w:pStyle w:val="TableText"/>
              <w:numPr>
                <w:ilvl w:val="0"/>
                <w:numId w:val="24"/>
              </w:numPr>
              <w:ind w:left="492"/>
            </w:pPr>
            <w:r>
              <w:t>Some</w:t>
            </w:r>
            <w:r w:rsidR="00305CD8">
              <w:t xml:space="preserve"> staff networks have a nominated Executive Director who is their network sponsor.</w:t>
            </w:r>
            <w:r w:rsidR="00DC1E9F">
              <w:t xml:space="preserve"> </w:t>
            </w:r>
            <w:r w:rsidR="00305CD8">
              <w:t>NGH Director of People</w:t>
            </w:r>
            <w:r w:rsidR="00274B1F">
              <w:t xml:space="preserve"> i</w:t>
            </w:r>
            <w:r w:rsidR="00305CD8">
              <w:t xml:space="preserve">s the system-lead for Equality, Diversity and Inclusion, demonstrating </w:t>
            </w:r>
            <w:r w:rsidR="00274B1F">
              <w:t xml:space="preserve">our </w:t>
            </w:r>
            <w:r w:rsidR="00305CD8">
              <w:t>commitment to</w:t>
            </w:r>
            <w:r w:rsidR="00274B1F">
              <w:t>wards driving change in</w:t>
            </w:r>
            <w:r w:rsidR="00305CD8">
              <w:t xml:space="preserve"> this area.</w:t>
            </w:r>
            <w:r w:rsidR="00DC1E9F">
              <w:t xml:space="preserve"> </w:t>
            </w:r>
            <w:r w:rsidR="00305CD8">
              <w:t xml:space="preserve">Organisation has started work on </w:t>
            </w:r>
            <w:proofErr w:type="spellStart"/>
            <w:r w:rsidR="00305CD8">
              <w:t>it’s</w:t>
            </w:r>
            <w:proofErr w:type="spellEnd"/>
            <w:r w:rsidR="00305CD8">
              <w:t xml:space="preserve"> ‘Anti-racism’ delivery plan, with discussions held with both Boards</w:t>
            </w:r>
          </w:p>
          <w:p w14:paraId="2CDBD751" w14:textId="2E92A925" w:rsidR="00305CD8" w:rsidRDefault="00305CD8" w:rsidP="00305CD8">
            <w:pPr>
              <w:pStyle w:val="TableText"/>
              <w:numPr>
                <w:ilvl w:val="0"/>
                <w:numId w:val="24"/>
              </w:numPr>
              <w:ind w:left="492"/>
            </w:pPr>
            <w:r>
              <w:t>Both Hospitals have been represented in the NHS Employers ‘Diversity Leaders Programme’ over the past 12 months and attended workshops virtually and in person.</w:t>
            </w:r>
          </w:p>
          <w:p w14:paraId="4B6FCE54" w14:textId="3D71958D" w:rsidR="00305CD8" w:rsidRDefault="00305CD8" w:rsidP="00305CD8">
            <w:pPr>
              <w:pStyle w:val="TableText"/>
              <w:numPr>
                <w:ilvl w:val="0"/>
                <w:numId w:val="24"/>
              </w:numPr>
              <w:ind w:left="492"/>
            </w:pPr>
            <w:r>
              <w:t>Training on a range of topics has taken place with both Boards, with further development planned across 2023-24 including Q Space training and Understand Race and Racism in the Workplace.</w:t>
            </w:r>
          </w:p>
          <w:p w14:paraId="7700089E" w14:textId="77777777" w:rsidR="00BB480F" w:rsidRPr="009D1CC6" w:rsidRDefault="00BB480F" w:rsidP="00305CD8">
            <w:pPr>
              <w:spacing w:line="259" w:lineRule="auto"/>
              <w:ind w:left="492"/>
              <w:rPr>
                <w:rFonts w:cs="Arial"/>
              </w:rPr>
            </w:pPr>
          </w:p>
        </w:tc>
        <w:tc>
          <w:tcPr>
            <w:tcW w:w="1886" w:type="dxa"/>
          </w:tcPr>
          <w:p w14:paraId="43BD2809" w14:textId="74342637" w:rsidR="00BB480F" w:rsidRPr="00A5665F" w:rsidRDefault="00CB2C51" w:rsidP="001364A4">
            <w:pPr>
              <w:spacing w:line="259" w:lineRule="auto"/>
              <w:jc w:val="center"/>
              <w:rPr>
                <w:rFonts w:cs="Arial"/>
                <w:bCs/>
                <w:color w:val="auto"/>
              </w:rPr>
            </w:pPr>
            <w:r>
              <w:rPr>
                <w:rFonts w:cs="Arial"/>
                <w:bCs/>
                <w:color w:val="auto"/>
              </w:rPr>
              <w:t>Underdeveloped</w:t>
            </w:r>
          </w:p>
          <w:p w14:paraId="22C98478" w14:textId="77777777" w:rsidR="001F3DE1" w:rsidRDefault="001F3DE1" w:rsidP="001364A4">
            <w:pPr>
              <w:spacing w:line="259" w:lineRule="auto"/>
              <w:jc w:val="center"/>
              <w:rPr>
                <w:rFonts w:cs="Arial"/>
                <w:b/>
                <w:color w:val="auto"/>
              </w:rPr>
            </w:pPr>
          </w:p>
          <w:p w14:paraId="574B4F1D" w14:textId="77777777" w:rsidR="001F3DE1" w:rsidRDefault="001F3DE1" w:rsidP="001364A4">
            <w:pPr>
              <w:spacing w:line="259" w:lineRule="auto"/>
              <w:jc w:val="center"/>
              <w:rPr>
                <w:rFonts w:cs="Arial"/>
                <w:b/>
                <w:color w:val="auto"/>
              </w:rPr>
            </w:pPr>
          </w:p>
          <w:p w14:paraId="554C5368" w14:textId="77777777" w:rsidR="001F3DE1" w:rsidRDefault="001F3DE1" w:rsidP="001364A4">
            <w:pPr>
              <w:spacing w:line="259" w:lineRule="auto"/>
              <w:jc w:val="center"/>
              <w:rPr>
                <w:rFonts w:cs="Arial"/>
                <w:b/>
                <w:color w:val="auto"/>
              </w:rPr>
            </w:pPr>
          </w:p>
          <w:p w14:paraId="575782A5" w14:textId="104B9F46" w:rsidR="002607DB" w:rsidRPr="002607DB" w:rsidRDefault="002607DB" w:rsidP="002607DB">
            <w:pPr>
              <w:spacing w:line="259" w:lineRule="auto"/>
              <w:jc w:val="center"/>
              <w:rPr>
                <w:rFonts w:cs="Arial"/>
                <w:b/>
                <w:bCs/>
              </w:rPr>
            </w:pPr>
          </w:p>
        </w:tc>
        <w:tc>
          <w:tcPr>
            <w:tcW w:w="2284" w:type="dxa"/>
          </w:tcPr>
          <w:p w14:paraId="533BC77C" w14:textId="56BC0E25" w:rsidR="00BB480F" w:rsidRPr="009D1CC6" w:rsidRDefault="006837AB" w:rsidP="002D0893">
            <w:pPr>
              <w:spacing w:line="259" w:lineRule="auto"/>
              <w:rPr>
                <w:rFonts w:cs="Arial"/>
              </w:rPr>
            </w:pPr>
            <w:r>
              <w:rPr>
                <w:rFonts w:cs="Arial"/>
              </w:rPr>
              <w:t>EDI Steering Group</w:t>
            </w:r>
          </w:p>
        </w:tc>
      </w:tr>
      <w:tr w:rsidR="00BB480F" w:rsidRPr="009D1CC6" w14:paraId="6D340945" w14:textId="77777777" w:rsidTr="00A5665F">
        <w:trPr>
          <w:cantSplit/>
          <w:trHeight w:val="1393"/>
        </w:trPr>
        <w:tc>
          <w:tcPr>
            <w:tcW w:w="1080" w:type="dxa"/>
            <w:vMerge/>
            <w:shd w:val="clear" w:color="auto" w:fill="BDDEFF" w:themeFill="accent1" w:themeFillTint="33"/>
          </w:tcPr>
          <w:p w14:paraId="17D30818" w14:textId="77777777" w:rsidR="00BB480F" w:rsidRPr="009D1CC6" w:rsidRDefault="00BB480F" w:rsidP="00E33027">
            <w:pPr>
              <w:spacing w:after="160" w:line="259" w:lineRule="auto"/>
              <w:rPr>
                <w:rFonts w:cs="Arial"/>
              </w:rPr>
            </w:pPr>
          </w:p>
        </w:tc>
        <w:tc>
          <w:tcPr>
            <w:tcW w:w="2262" w:type="dxa"/>
            <w:shd w:val="clear" w:color="auto" w:fill="BDDEFF" w:themeFill="accent1" w:themeFillTint="33"/>
          </w:tcPr>
          <w:p w14:paraId="15EA2F7A" w14:textId="77777777" w:rsidR="00BB480F" w:rsidRPr="009D1CC6" w:rsidRDefault="00BB480F" w:rsidP="002D0893">
            <w:pPr>
              <w:spacing w:line="259" w:lineRule="auto"/>
              <w:rPr>
                <w:rFonts w:cs="Arial"/>
              </w:rPr>
            </w:pPr>
            <w:r w:rsidRPr="009D1CC6">
              <w:rPr>
                <w:rFonts w:cs="Arial"/>
              </w:rPr>
              <w:t>3B: Board/Committee papers (including minutes) identify equality and health inequalities related impacts and risks and how they will be mitigated and managed</w:t>
            </w:r>
          </w:p>
        </w:tc>
        <w:tc>
          <w:tcPr>
            <w:tcW w:w="6084" w:type="dxa"/>
          </w:tcPr>
          <w:p w14:paraId="542C1BFC" w14:textId="7E931D76" w:rsidR="00BB480F" w:rsidRPr="00305CD8" w:rsidRDefault="00C52223" w:rsidP="00305CD8">
            <w:pPr>
              <w:pStyle w:val="ListParagraph"/>
              <w:numPr>
                <w:ilvl w:val="0"/>
                <w:numId w:val="24"/>
              </w:numPr>
              <w:spacing w:line="259" w:lineRule="auto"/>
              <w:ind w:left="492"/>
              <w:rPr>
                <w:rFonts w:cs="Arial"/>
              </w:rPr>
            </w:pPr>
            <w:r>
              <w:t>Equality and Quality Impact Assessment (EQIA) process embedded. Every paper considered at board/committee meeting requires evidence of impact on inclusion. Strategic Risk on BAF</w:t>
            </w:r>
          </w:p>
        </w:tc>
        <w:tc>
          <w:tcPr>
            <w:tcW w:w="1886" w:type="dxa"/>
          </w:tcPr>
          <w:p w14:paraId="3B3A6305" w14:textId="2E45C48F" w:rsidR="00BB480F" w:rsidRPr="00A5665F" w:rsidRDefault="00A5665F" w:rsidP="00C66C19">
            <w:pPr>
              <w:spacing w:line="259" w:lineRule="auto"/>
              <w:jc w:val="center"/>
              <w:rPr>
                <w:rFonts w:cs="Arial"/>
              </w:rPr>
            </w:pPr>
            <w:r w:rsidRPr="00A5665F">
              <w:rPr>
                <w:rFonts w:cs="Arial"/>
              </w:rPr>
              <w:t>Underdeveloped</w:t>
            </w:r>
          </w:p>
        </w:tc>
        <w:tc>
          <w:tcPr>
            <w:tcW w:w="2284" w:type="dxa"/>
          </w:tcPr>
          <w:p w14:paraId="49F593CD" w14:textId="752141C6" w:rsidR="00BB480F" w:rsidRPr="00A5665F" w:rsidRDefault="00A5665F" w:rsidP="002D0893">
            <w:pPr>
              <w:spacing w:line="259" w:lineRule="auto"/>
              <w:rPr>
                <w:rFonts w:cs="Arial"/>
              </w:rPr>
            </w:pPr>
            <w:r w:rsidRPr="00A5665F">
              <w:rPr>
                <w:rFonts w:cs="Arial"/>
              </w:rPr>
              <w:t>EDI Steering Group</w:t>
            </w:r>
          </w:p>
        </w:tc>
      </w:tr>
      <w:tr w:rsidR="00A5665F" w:rsidRPr="009D1CC6" w14:paraId="7ABB8455" w14:textId="77777777" w:rsidTr="00A5665F">
        <w:trPr>
          <w:cantSplit/>
          <w:trHeight w:val="1474"/>
        </w:trPr>
        <w:tc>
          <w:tcPr>
            <w:tcW w:w="1080" w:type="dxa"/>
            <w:vMerge/>
            <w:shd w:val="clear" w:color="auto" w:fill="BDDEFF" w:themeFill="accent1" w:themeFillTint="33"/>
          </w:tcPr>
          <w:p w14:paraId="00548831" w14:textId="77777777" w:rsidR="00A5665F" w:rsidRPr="009D1CC6" w:rsidRDefault="00A5665F" w:rsidP="00A5665F">
            <w:pPr>
              <w:spacing w:after="160" w:line="259" w:lineRule="auto"/>
              <w:rPr>
                <w:rFonts w:cs="Arial"/>
              </w:rPr>
            </w:pPr>
          </w:p>
        </w:tc>
        <w:tc>
          <w:tcPr>
            <w:tcW w:w="2262" w:type="dxa"/>
            <w:shd w:val="clear" w:color="auto" w:fill="BDDEFF" w:themeFill="accent1" w:themeFillTint="33"/>
          </w:tcPr>
          <w:p w14:paraId="45F97779" w14:textId="77777777" w:rsidR="00A5665F" w:rsidRPr="009D1CC6" w:rsidRDefault="00A5665F" w:rsidP="00A5665F">
            <w:pPr>
              <w:spacing w:line="259" w:lineRule="auto"/>
              <w:rPr>
                <w:rFonts w:cs="Arial"/>
              </w:rPr>
            </w:pPr>
            <w:r w:rsidRPr="009D1CC6">
              <w:rPr>
                <w:rFonts w:cs="Arial"/>
              </w:rPr>
              <w:t>3C: Board members and system leaders (Band 9 and VSM) ensure levers are in place to manage performance and monitor progress with staff and patients</w:t>
            </w:r>
          </w:p>
        </w:tc>
        <w:tc>
          <w:tcPr>
            <w:tcW w:w="6084" w:type="dxa"/>
          </w:tcPr>
          <w:p w14:paraId="0E69353A" w14:textId="7DC5A269" w:rsidR="00A5665F" w:rsidRPr="00305CD8" w:rsidRDefault="00A5665F" w:rsidP="00A5665F">
            <w:pPr>
              <w:pStyle w:val="ListParagraph"/>
              <w:numPr>
                <w:ilvl w:val="0"/>
                <w:numId w:val="24"/>
              </w:numPr>
              <w:spacing w:line="259" w:lineRule="auto"/>
              <w:ind w:left="492"/>
              <w:rPr>
                <w:rFonts w:cs="Arial"/>
              </w:rPr>
            </w:pPr>
            <w:r>
              <w:rPr>
                <w:rFonts w:cs="Arial"/>
              </w:rPr>
              <w:t>T</w:t>
            </w:r>
            <w:r>
              <w:t>he board and committees are being aware of, understanding and monitoring the tools Year on year tracking and monitoring of WRES, WDES, EDS, AIS, Gender Pay Gap. Strategic Risk on BAF. Board receives 6 monthly report on delivery progress of Inclusion &amp; Health Inequalities strategy delivery</w:t>
            </w:r>
          </w:p>
        </w:tc>
        <w:tc>
          <w:tcPr>
            <w:tcW w:w="1886" w:type="dxa"/>
          </w:tcPr>
          <w:p w14:paraId="752BB2E1" w14:textId="300B8F66" w:rsidR="00A5665F" w:rsidRPr="001C78E3" w:rsidRDefault="00A5665F" w:rsidP="00A5665F">
            <w:pPr>
              <w:spacing w:line="259" w:lineRule="auto"/>
              <w:jc w:val="center"/>
              <w:rPr>
                <w:rFonts w:cs="Arial"/>
                <w:b/>
                <w:bCs/>
              </w:rPr>
            </w:pPr>
            <w:r w:rsidRPr="00A5665F">
              <w:rPr>
                <w:rFonts w:cs="Arial"/>
              </w:rPr>
              <w:t>Underdeveloped</w:t>
            </w:r>
          </w:p>
        </w:tc>
        <w:tc>
          <w:tcPr>
            <w:tcW w:w="2284" w:type="dxa"/>
          </w:tcPr>
          <w:p w14:paraId="287A6683" w14:textId="4689179E" w:rsidR="00A5665F" w:rsidRPr="009D1CC6" w:rsidRDefault="00A5665F" w:rsidP="00A5665F">
            <w:pPr>
              <w:spacing w:line="259" w:lineRule="auto"/>
              <w:rPr>
                <w:rFonts w:cs="Arial"/>
              </w:rPr>
            </w:pPr>
            <w:r w:rsidRPr="00A5665F">
              <w:rPr>
                <w:rFonts w:cs="Arial"/>
              </w:rPr>
              <w:t>EDI Steering Group</w:t>
            </w:r>
          </w:p>
        </w:tc>
      </w:tr>
      <w:tr w:rsidR="00BB480F" w:rsidRPr="009D1CC6" w14:paraId="164E6232" w14:textId="77777777" w:rsidTr="00A5665F">
        <w:tc>
          <w:tcPr>
            <w:tcW w:w="9426" w:type="dxa"/>
            <w:gridSpan w:val="3"/>
            <w:shd w:val="clear" w:color="auto" w:fill="BDDEFF" w:themeFill="accent1" w:themeFillTint="33"/>
          </w:tcPr>
          <w:p w14:paraId="06D09B6E" w14:textId="77777777" w:rsidR="00BB480F" w:rsidRPr="009D1CC6" w:rsidRDefault="00BB480F" w:rsidP="00E33027">
            <w:pPr>
              <w:rPr>
                <w:rFonts w:cs="Arial"/>
                <w:b/>
              </w:rPr>
            </w:pPr>
            <w:r w:rsidRPr="009D1CC6">
              <w:rPr>
                <w:rFonts w:cs="Arial"/>
                <w:b/>
              </w:rPr>
              <w:t>Domain 3: Inclusive leadership overall rating</w:t>
            </w:r>
          </w:p>
        </w:tc>
        <w:tc>
          <w:tcPr>
            <w:tcW w:w="1886" w:type="dxa"/>
          </w:tcPr>
          <w:p w14:paraId="0BE789D4" w14:textId="48E1B647" w:rsidR="00BB480F" w:rsidRPr="00CB2C51" w:rsidRDefault="00A5665F" w:rsidP="001C78E3">
            <w:pPr>
              <w:spacing w:after="160" w:line="259" w:lineRule="auto"/>
              <w:jc w:val="center"/>
              <w:rPr>
                <w:rFonts w:cs="Arial"/>
              </w:rPr>
            </w:pPr>
            <w:r w:rsidRPr="00CB2C51">
              <w:rPr>
                <w:rFonts w:cs="Arial"/>
                <w:color w:val="auto"/>
              </w:rPr>
              <w:t>Underdeveloped</w:t>
            </w:r>
          </w:p>
        </w:tc>
        <w:tc>
          <w:tcPr>
            <w:tcW w:w="2284" w:type="dxa"/>
            <w:shd w:val="clear" w:color="auto" w:fill="BDDEFF" w:themeFill="accent1" w:themeFillTint="33"/>
          </w:tcPr>
          <w:p w14:paraId="4C9F4CB4" w14:textId="77777777" w:rsidR="00BB480F" w:rsidRPr="009D1CC6" w:rsidRDefault="00BB480F" w:rsidP="00E33027">
            <w:pPr>
              <w:spacing w:after="160" w:line="259" w:lineRule="auto"/>
              <w:rPr>
                <w:rFonts w:cs="Arial"/>
              </w:rPr>
            </w:pPr>
          </w:p>
        </w:tc>
      </w:tr>
    </w:tbl>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5665"/>
        <w:gridCol w:w="7933"/>
      </w:tblGrid>
      <w:tr w:rsidR="00E5600B" w:rsidRPr="005739D0" w14:paraId="069F7D8C" w14:textId="77777777" w:rsidTr="00E33027">
        <w:tc>
          <w:tcPr>
            <w:tcW w:w="13598" w:type="dxa"/>
            <w:gridSpan w:val="2"/>
            <w:shd w:val="clear" w:color="auto" w:fill="BDDEFF" w:themeFill="accent1" w:themeFillTint="33"/>
            <w:vAlign w:val="center"/>
          </w:tcPr>
          <w:p w14:paraId="36DE3B8E" w14:textId="2D6646C5" w:rsidR="00E5600B" w:rsidRPr="002D0893" w:rsidRDefault="002D0893" w:rsidP="00E33027">
            <w:pPr>
              <w:jc w:val="center"/>
              <w:rPr>
                <w:rFonts w:cs="Arial"/>
                <w:b/>
              </w:rPr>
            </w:pPr>
            <w:r w:rsidRPr="002D0893">
              <w:rPr>
                <w:rFonts w:cs="Arial"/>
                <w:b/>
              </w:rPr>
              <w:t xml:space="preserve">Third-party involvement in </w:t>
            </w:r>
            <w:r w:rsidR="00E5600B" w:rsidRPr="002D0893">
              <w:rPr>
                <w:rFonts w:cs="Arial"/>
                <w:b/>
              </w:rPr>
              <w:t>Domain 3 rating and review</w:t>
            </w:r>
          </w:p>
        </w:tc>
      </w:tr>
      <w:tr w:rsidR="00E5600B" w:rsidRPr="005739D0" w14:paraId="6AAA70B9" w14:textId="77777777" w:rsidTr="00E33027">
        <w:tc>
          <w:tcPr>
            <w:tcW w:w="5665" w:type="dxa"/>
            <w:shd w:val="clear" w:color="auto" w:fill="BDDEFF" w:themeFill="accent1" w:themeFillTint="33"/>
          </w:tcPr>
          <w:p w14:paraId="2BC02F03" w14:textId="57ECCF2F" w:rsidR="00E5600B" w:rsidRPr="005739D0" w:rsidRDefault="00E5600B" w:rsidP="002D0893">
            <w:r w:rsidRPr="002D0893">
              <w:rPr>
                <w:rFonts w:cs="Arial"/>
                <w:b/>
              </w:rPr>
              <w:t>Trade Union Rep(s):</w:t>
            </w:r>
          </w:p>
          <w:p w14:paraId="2F77C4B1" w14:textId="77777777" w:rsidR="000D6255" w:rsidRPr="000D6255" w:rsidRDefault="000D6255" w:rsidP="000D6255">
            <w:r w:rsidRPr="000D6255">
              <w:t xml:space="preserve">Trade Union Equalities Representative from the Chartered Society </w:t>
            </w:r>
          </w:p>
          <w:p w14:paraId="06D842A3" w14:textId="04DA0BE7" w:rsidR="00E5600B" w:rsidRPr="005739D0" w:rsidRDefault="000D6255" w:rsidP="000D6255">
            <w:pPr>
              <w:rPr>
                <w:rFonts w:cs="Arial"/>
                <w:sz w:val="28"/>
                <w:szCs w:val="28"/>
              </w:rPr>
            </w:pPr>
            <w:r w:rsidRPr="000D6255">
              <w:t>of Physiotherapists reviewed Domain 3 at a</w:t>
            </w:r>
            <w:r w:rsidR="007D01C0">
              <w:t>n evaluation mee</w:t>
            </w:r>
            <w:r w:rsidRPr="000D6255">
              <w:t>t</w:t>
            </w:r>
            <w:r w:rsidR="007D01C0">
              <w:t xml:space="preserve">ing </w:t>
            </w:r>
            <w:r w:rsidRPr="000D6255">
              <w:t>on 18</w:t>
            </w:r>
            <w:r w:rsidR="007D01C0">
              <w:t xml:space="preserve"> December </w:t>
            </w:r>
            <w:r w:rsidRPr="000D6255">
              <w:t>2</w:t>
            </w:r>
            <w:r w:rsidR="007D01C0">
              <w:t>0</w:t>
            </w:r>
            <w:r w:rsidRPr="000D6255">
              <w:t>23</w:t>
            </w:r>
            <w:r w:rsidRPr="000D6255">
              <w:rPr>
                <w:rFonts w:cs="Arial"/>
                <w:sz w:val="28"/>
                <w:szCs w:val="28"/>
              </w:rPr>
              <w:t xml:space="preserve"> </w:t>
            </w:r>
          </w:p>
        </w:tc>
        <w:tc>
          <w:tcPr>
            <w:tcW w:w="7933" w:type="dxa"/>
            <w:shd w:val="clear" w:color="auto" w:fill="BDDEFF" w:themeFill="accent1" w:themeFillTint="33"/>
          </w:tcPr>
          <w:p w14:paraId="318111B3" w14:textId="77777777" w:rsidR="00E5600B" w:rsidRPr="002D0893" w:rsidRDefault="00E5600B" w:rsidP="00E33027">
            <w:pPr>
              <w:rPr>
                <w:rFonts w:cs="Arial"/>
                <w:b/>
              </w:rPr>
            </w:pPr>
            <w:bookmarkStart w:id="1" w:name="_Toc43808933"/>
            <w:r w:rsidRPr="002D0893">
              <w:rPr>
                <w:rFonts w:cs="Arial"/>
                <w:b/>
              </w:rPr>
              <w:t>Independent Evaluator(s)/Peer Reviewer(s</w:t>
            </w:r>
            <w:bookmarkEnd w:id="1"/>
            <w:r w:rsidRPr="002D0893">
              <w:rPr>
                <w:rFonts w:cs="Arial"/>
                <w:b/>
              </w:rPr>
              <w:t>):</w:t>
            </w:r>
          </w:p>
          <w:p w14:paraId="32F48BF8" w14:textId="56E39F6D" w:rsidR="00E5600B" w:rsidRPr="005739D0" w:rsidRDefault="000D6255" w:rsidP="008B0721">
            <w:pPr>
              <w:rPr>
                <w:rFonts w:cs="Arial"/>
                <w:sz w:val="28"/>
                <w:szCs w:val="28"/>
              </w:rPr>
            </w:pPr>
            <w:r>
              <w:t>EDI representatives from N</w:t>
            </w:r>
            <w:r w:rsidR="007D01C0">
              <w:t xml:space="preserve">orthamptonshire </w:t>
            </w:r>
            <w:r>
              <w:t>H</w:t>
            </w:r>
            <w:r w:rsidR="007D01C0">
              <w:t xml:space="preserve">ealthcare </w:t>
            </w:r>
            <w:r w:rsidR="008B0721">
              <w:t>F</w:t>
            </w:r>
            <w:r w:rsidR="007D01C0">
              <w:t xml:space="preserve">oundation </w:t>
            </w:r>
            <w:r w:rsidR="008B0721">
              <w:t>T</w:t>
            </w:r>
            <w:r w:rsidR="007D01C0">
              <w:t>rust</w:t>
            </w:r>
            <w:r w:rsidR="008B0721">
              <w:t xml:space="preserve"> &amp; Nort</w:t>
            </w:r>
            <w:r>
              <w:t>hamptonshire Integrated Care Board on 18</w:t>
            </w:r>
            <w:r w:rsidR="007D01C0">
              <w:t xml:space="preserve"> December 20</w:t>
            </w:r>
            <w:r>
              <w:t>23</w:t>
            </w:r>
          </w:p>
        </w:tc>
      </w:tr>
    </w:tbl>
    <w:p w14:paraId="5819D29B" w14:textId="77777777" w:rsidR="00BB480F" w:rsidRPr="009D1CC6" w:rsidRDefault="00BB480F" w:rsidP="00BB480F">
      <w:pPr>
        <w:rPr>
          <w:rFonts w:cs="Arial"/>
        </w:rPr>
      </w:pPr>
    </w:p>
    <w:p w14:paraId="71B17838" w14:textId="77777777" w:rsidR="00BB480F" w:rsidRPr="009D1CC6" w:rsidRDefault="00BB480F" w:rsidP="00B0463F">
      <w:pPr>
        <w:rPr>
          <w:rFonts w:cs="Arial"/>
        </w:rPr>
      </w:pPr>
      <w:r w:rsidRPr="009D1CC6">
        <w:rPr>
          <w:rFonts w:cs="Arial"/>
        </w:rPr>
        <w:br w:type="page"/>
      </w:r>
      <w:r w:rsidRPr="009D1CC6">
        <w:rPr>
          <w:rFonts w:cs="Arial"/>
        </w:rPr>
        <w:lastRenderedPageBreak/>
        <w:t xml:space="preserve"> </w:t>
      </w:r>
    </w:p>
    <w:tbl>
      <w:tblPr>
        <w:tblStyle w:val="TableGrid"/>
        <w:tblpPr w:leftFromText="180" w:rightFromText="180" w:vertAnchor="text" w:tblpY="11"/>
        <w:tblW w:w="13598" w:type="dxa"/>
        <w:tblBorders>
          <w:top w:val="single" w:sz="4" w:space="0" w:color="768692" w:themeColor="accent2"/>
          <w:left w:val="single" w:sz="4" w:space="0" w:color="768692" w:themeColor="accent2"/>
          <w:bottom w:val="single" w:sz="4" w:space="0" w:color="768692" w:themeColor="accent2"/>
          <w:right w:val="single" w:sz="4" w:space="0" w:color="768692" w:themeColor="accent2"/>
          <w:insideH w:val="single" w:sz="4" w:space="0" w:color="768692" w:themeColor="accent2"/>
          <w:insideV w:val="single" w:sz="4" w:space="0" w:color="768692" w:themeColor="accent2"/>
        </w:tblBorders>
        <w:tblCellMar>
          <w:top w:w="62" w:type="dxa"/>
          <w:left w:w="62" w:type="dxa"/>
          <w:bottom w:w="62" w:type="dxa"/>
          <w:right w:w="62" w:type="dxa"/>
        </w:tblCellMar>
        <w:tblLook w:val="04A0" w:firstRow="1" w:lastRow="0" w:firstColumn="1" w:lastColumn="0" w:noHBand="0" w:noVBand="1"/>
      </w:tblPr>
      <w:tblGrid>
        <w:gridCol w:w="13598"/>
      </w:tblGrid>
      <w:tr w:rsidR="00BB480F" w:rsidRPr="009D1CC6" w14:paraId="15F50E11" w14:textId="77777777" w:rsidTr="002A7AA2">
        <w:tc>
          <w:tcPr>
            <w:tcW w:w="13598" w:type="dxa"/>
            <w:shd w:val="clear" w:color="auto" w:fill="BDDEFF" w:themeFill="accent1" w:themeFillTint="33"/>
          </w:tcPr>
          <w:p w14:paraId="405DFC79" w14:textId="07FF34A4" w:rsidR="00BB480F" w:rsidRPr="009C5580" w:rsidRDefault="00BB480F" w:rsidP="00E33027">
            <w:pPr>
              <w:rPr>
                <w:rFonts w:cs="Arial"/>
                <w:bCs/>
                <w:sz w:val="36"/>
                <w:szCs w:val="36"/>
              </w:rPr>
            </w:pPr>
            <w:r w:rsidRPr="009C5580">
              <w:rPr>
                <w:rFonts w:cs="Arial"/>
                <w:bCs/>
                <w:sz w:val="36"/>
                <w:szCs w:val="36"/>
              </w:rPr>
              <w:t>EDS Organisation Rating (overall rating):</w:t>
            </w:r>
            <w:r w:rsidR="00D47FC7">
              <w:rPr>
                <w:rFonts w:cs="Arial"/>
                <w:bCs/>
                <w:sz w:val="36"/>
                <w:szCs w:val="36"/>
              </w:rPr>
              <w:t xml:space="preserve"> </w:t>
            </w:r>
            <w:r w:rsidR="008434E4">
              <w:rPr>
                <w:rFonts w:cs="Arial"/>
                <w:bCs/>
                <w:sz w:val="36"/>
                <w:szCs w:val="36"/>
              </w:rPr>
              <w:t>Developing</w:t>
            </w:r>
          </w:p>
          <w:p w14:paraId="70AB78CF" w14:textId="77777777" w:rsidR="00BB480F" w:rsidRPr="002D0893" w:rsidRDefault="00BB480F" w:rsidP="00E33027">
            <w:pPr>
              <w:rPr>
                <w:rFonts w:cs="Arial"/>
                <w:sz w:val="28"/>
                <w:szCs w:val="28"/>
              </w:rPr>
            </w:pPr>
          </w:p>
          <w:p w14:paraId="7D4688A5" w14:textId="77777777" w:rsidR="00BB480F" w:rsidRPr="009D1CC6" w:rsidRDefault="00BB480F" w:rsidP="00E33027">
            <w:pPr>
              <w:rPr>
                <w:rFonts w:cs="Arial"/>
              </w:rPr>
            </w:pPr>
          </w:p>
        </w:tc>
      </w:tr>
      <w:tr w:rsidR="00BB480F" w:rsidRPr="009D1CC6" w14:paraId="1042AAF6" w14:textId="77777777" w:rsidTr="002A7AA2">
        <w:tc>
          <w:tcPr>
            <w:tcW w:w="13598" w:type="dxa"/>
            <w:shd w:val="clear" w:color="auto" w:fill="BDDEFF" w:themeFill="accent1" w:themeFillTint="33"/>
          </w:tcPr>
          <w:p w14:paraId="781F4F73" w14:textId="77777777" w:rsidR="00BB480F" w:rsidRDefault="00BB480F" w:rsidP="008434E4">
            <w:pPr>
              <w:rPr>
                <w:rFonts w:cs="Arial"/>
                <w:bCs/>
                <w:color w:val="auto"/>
                <w:sz w:val="32"/>
                <w:szCs w:val="32"/>
              </w:rPr>
            </w:pPr>
            <w:r w:rsidRPr="009C5580">
              <w:rPr>
                <w:rFonts w:cs="Arial"/>
                <w:bCs/>
                <w:sz w:val="36"/>
                <w:szCs w:val="36"/>
              </w:rPr>
              <w:t xml:space="preserve">Organisation name(s): </w:t>
            </w:r>
            <w:r w:rsidR="00364F39" w:rsidRPr="008434E4">
              <w:rPr>
                <w:rFonts w:cs="Arial"/>
                <w:bCs/>
                <w:color w:val="auto"/>
                <w:sz w:val="32"/>
                <w:szCs w:val="32"/>
              </w:rPr>
              <w:t>University Hospitals of Northamptonshire</w:t>
            </w:r>
          </w:p>
          <w:p w14:paraId="21854206" w14:textId="0F4BA4EC" w:rsidR="008434E4" w:rsidRPr="00364F39" w:rsidRDefault="008434E4" w:rsidP="008434E4">
            <w:pPr>
              <w:rPr>
                <w:rFonts w:cs="Arial"/>
                <w:b/>
                <w:color w:val="FFFFFF" w:themeColor="background1"/>
              </w:rPr>
            </w:pPr>
          </w:p>
        </w:tc>
      </w:tr>
      <w:tr w:rsidR="00BB480F" w:rsidRPr="009D1CC6" w14:paraId="78E2D1A2" w14:textId="77777777" w:rsidTr="002A7AA2">
        <w:tc>
          <w:tcPr>
            <w:tcW w:w="13598" w:type="dxa"/>
          </w:tcPr>
          <w:p w14:paraId="0B81DD8C" w14:textId="77777777" w:rsidR="00BB480F" w:rsidRPr="009D1CC6" w:rsidRDefault="00BB480F" w:rsidP="00E33027">
            <w:pPr>
              <w:rPr>
                <w:rFonts w:cs="Arial"/>
              </w:rPr>
            </w:pPr>
          </w:p>
          <w:p w14:paraId="101CFC82" w14:textId="77777777" w:rsidR="00BB480F" w:rsidRPr="009D1CC6" w:rsidRDefault="00BB480F" w:rsidP="00E33027">
            <w:pPr>
              <w:rPr>
                <w:rFonts w:cs="Arial"/>
              </w:rPr>
            </w:pPr>
            <w:r w:rsidRPr="009D1CC6">
              <w:rPr>
                <w:rFonts w:cs="Arial"/>
              </w:rPr>
              <w:t xml:space="preserve">Those who score </w:t>
            </w:r>
            <w:r w:rsidRPr="009D1CC6">
              <w:rPr>
                <w:rFonts w:cs="Arial"/>
                <w:b/>
              </w:rPr>
              <w:t>under 8,</w:t>
            </w:r>
            <w:r w:rsidRPr="009D1CC6">
              <w:rPr>
                <w:rFonts w:cs="Arial"/>
              </w:rPr>
              <w:t xml:space="preserve"> adding all outcome scores in all domains, are rated </w:t>
            </w:r>
            <w:r w:rsidRPr="009D1CC6">
              <w:rPr>
                <w:rFonts w:cs="Arial"/>
                <w:b/>
                <w:color w:val="C00000"/>
              </w:rPr>
              <w:t>Undeveloped</w:t>
            </w:r>
            <w:r w:rsidRPr="009D1CC6">
              <w:rPr>
                <w:rFonts w:cs="Arial"/>
              </w:rPr>
              <w:t xml:space="preserve"> </w:t>
            </w:r>
          </w:p>
          <w:p w14:paraId="430FC6FE" w14:textId="77777777" w:rsidR="00BB480F" w:rsidRPr="009D1CC6" w:rsidRDefault="00BB480F" w:rsidP="00E33027">
            <w:pPr>
              <w:rPr>
                <w:rFonts w:cs="Arial"/>
              </w:rPr>
            </w:pPr>
          </w:p>
          <w:p w14:paraId="4F51C7DA" w14:textId="77777777" w:rsidR="00BB480F" w:rsidRPr="009D1CC6" w:rsidRDefault="00BB480F" w:rsidP="00E33027">
            <w:pPr>
              <w:rPr>
                <w:rFonts w:cs="Arial"/>
                <w:b/>
                <w:color w:val="1991C2" w:themeColor="accent4" w:themeShade="BF"/>
              </w:rPr>
            </w:pPr>
            <w:r w:rsidRPr="009D1CC6">
              <w:rPr>
                <w:rFonts w:cs="Arial"/>
              </w:rPr>
              <w:t xml:space="preserve">Those who score </w:t>
            </w:r>
            <w:r w:rsidRPr="009D1CC6">
              <w:rPr>
                <w:rFonts w:cs="Arial"/>
                <w:b/>
              </w:rPr>
              <w:t>between 8 and 21,</w:t>
            </w:r>
            <w:r w:rsidRPr="009D1CC6">
              <w:rPr>
                <w:rFonts w:cs="Arial"/>
              </w:rPr>
              <w:t xml:space="preserve"> adding all outcome scores in all domains, are rated </w:t>
            </w:r>
            <w:r w:rsidRPr="009D1CC6">
              <w:rPr>
                <w:rFonts w:cs="Arial"/>
                <w:b/>
                <w:color w:val="1991C2" w:themeColor="accent4" w:themeShade="BF"/>
              </w:rPr>
              <w:t>Developing</w:t>
            </w:r>
          </w:p>
          <w:p w14:paraId="0F6CDE46" w14:textId="77777777" w:rsidR="00BB480F" w:rsidRPr="009D1CC6" w:rsidRDefault="00BB480F" w:rsidP="00E33027">
            <w:pPr>
              <w:rPr>
                <w:rFonts w:cs="Arial"/>
              </w:rPr>
            </w:pPr>
          </w:p>
          <w:p w14:paraId="5E97E25E" w14:textId="77777777" w:rsidR="00BB480F" w:rsidRPr="009D1CC6" w:rsidRDefault="00BB480F" w:rsidP="00E33027">
            <w:pPr>
              <w:rPr>
                <w:rFonts w:cs="Arial"/>
                <w:b/>
                <w:color w:val="00B050"/>
              </w:rPr>
            </w:pPr>
            <w:r w:rsidRPr="009D1CC6">
              <w:rPr>
                <w:rFonts w:cs="Arial"/>
              </w:rPr>
              <w:t xml:space="preserve">Those who score </w:t>
            </w:r>
            <w:r w:rsidRPr="009D1CC6">
              <w:rPr>
                <w:rFonts w:cs="Arial"/>
                <w:b/>
              </w:rPr>
              <w:t>between 22 and 32,</w:t>
            </w:r>
            <w:r w:rsidRPr="009D1CC6">
              <w:rPr>
                <w:rFonts w:cs="Arial"/>
              </w:rPr>
              <w:t xml:space="preserve"> adding all outcome scores in all domains, are rated</w:t>
            </w:r>
            <w:r w:rsidRPr="009D1CC6">
              <w:rPr>
                <w:rFonts w:cs="Arial"/>
                <w:b/>
                <w:color w:val="7030A0"/>
              </w:rPr>
              <w:t xml:space="preserve"> </w:t>
            </w:r>
            <w:r w:rsidRPr="009D1CC6">
              <w:rPr>
                <w:rFonts w:cs="Arial"/>
                <w:b/>
                <w:color w:val="00B050"/>
              </w:rPr>
              <w:t>Achieving</w:t>
            </w:r>
          </w:p>
          <w:p w14:paraId="03D4202C" w14:textId="77777777" w:rsidR="00BB480F" w:rsidRPr="009D1CC6" w:rsidRDefault="00BB480F" w:rsidP="00E33027">
            <w:pPr>
              <w:rPr>
                <w:rFonts w:cs="Arial"/>
              </w:rPr>
            </w:pPr>
          </w:p>
          <w:p w14:paraId="7BE2DA4C" w14:textId="77777777" w:rsidR="00BB480F" w:rsidRPr="009D1CC6" w:rsidRDefault="00BB480F" w:rsidP="00E33027">
            <w:pPr>
              <w:rPr>
                <w:rFonts w:cs="Arial"/>
              </w:rPr>
            </w:pPr>
            <w:r w:rsidRPr="009D1CC6">
              <w:rPr>
                <w:rFonts w:cs="Arial"/>
              </w:rPr>
              <w:t xml:space="preserve">Those who score </w:t>
            </w:r>
            <w:r w:rsidRPr="009D1CC6">
              <w:rPr>
                <w:rFonts w:cs="Arial"/>
                <w:b/>
              </w:rPr>
              <w:t>33,</w:t>
            </w:r>
            <w:r w:rsidRPr="009D1CC6">
              <w:rPr>
                <w:rFonts w:cs="Arial"/>
              </w:rPr>
              <w:t xml:space="preserve"> adding all outcome scores in all domains, are rated</w:t>
            </w:r>
            <w:r w:rsidRPr="009D1CC6">
              <w:rPr>
                <w:rFonts w:cs="Arial"/>
                <w:b/>
                <w:color w:val="7030A0"/>
              </w:rPr>
              <w:t xml:space="preserve"> Excelling</w:t>
            </w:r>
          </w:p>
          <w:p w14:paraId="48DD9D28" w14:textId="77777777" w:rsidR="00BB480F" w:rsidRPr="009D1CC6" w:rsidRDefault="00BB480F" w:rsidP="00E33027">
            <w:pPr>
              <w:rPr>
                <w:rFonts w:cs="Arial"/>
                <w:color w:val="7030A0"/>
              </w:rPr>
            </w:pPr>
          </w:p>
        </w:tc>
      </w:tr>
    </w:tbl>
    <w:p w14:paraId="30912658" w14:textId="2B63BEE4" w:rsidR="00CB2C51" w:rsidRDefault="00CB2C51" w:rsidP="00BB480F">
      <w:pPr>
        <w:rPr>
          <w:rFonts w:cs="Arial"/>
        </w:rPr>
      </w:pPr>
    </w:p>
    <w:p w14:paraId="2C9EFA42" w14:textId="77777777" w:rsidR="00CB2C51" w:rsidRDefault="00CB2C51">
      <w:pPr>
        <w:rPr>
          <w:rFonts w:cs="Arial"/>
        </w:rPr>
      </w:pPr>
      <w:r>
        <w:rPr>
          <w:rFonts w:cs="Arial"/>
        </w:rPr>
        <w:br w:type="page"/>
      </w:r>
    </w:p>
    <w:p w14:paraId="124CE7C2" w14:textId="67DDD23D" w:rsidR="00BB480F" w:rsidRDefault="005F29C3" w:rsidP="005F29C3">
      <w:pPr>
        <w:jc w:val="center"/>
        <w:rPr>
          <w:rFonts w:cs="Arial"/>
          <w:b/>
          <w:bCs/>
        </w:rPr>
      </w:pPr>
      <w:r w:rsidRPr="005F29C3">
        <w:rPr>
          <w:rFonts w:cs="Arial"/>
          <w:b/>
          <w:bCs/>
        </w:rPr>
        <w:lastRenderedPageBreak/>
        <w:t>EDS Action Plan 2022-2023</w:t>
      </w:r>
    </w:p>
    <w:p w14:paraId="7C9EADB3" w14:textId="77777777" w:rsidR="005F29C3" w:rsidRPr="005F29C3" w:rsidRDefault="005F29C3" w:rsidP="005F29C3">
      <w:pPr>
        <w:jc w:val="center"/>
        <w:rPr>
          <w:rFonts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9773"/>
      </w:tblGrid>
      <w:tr w:rsidR="005F29C3" w14:paraId="24101400" w14:textId="77777777" w:rsidTr="00DB1EC8">
        <w:tc>
          <w:tcPr>
            <w:tcW w:w="3823" w:type="dxa"/>
            <w:shd w:val="clear" w:color="auto" w:fill="BDDEFF" w:themeFill="text2" w:themeFillTint="33"/>
          </w:tcPr>
          <w:p w14:paraId="68027F71" w14:textId="6D6815D8" w:rsidR="005F29C3" w:rsidRPr="008F7BC3" w:rsidRDefault="000771ED" w:rsidP="00BB480F">
            <w:pPr>
              <w:rPr>
                <w:rFonts w:cs="Arial"/>
                <w:b/>
                <w:bCs/>
              </w:rPr>
            </w:pPr>
            <w:r w:rsidRPr="008F7BC3">
              <w:rPr>
                <w:rFonts w:cs="Arial"/>
                <w:b/>
                <w:bCs/>
              </w:rPr>
              <w:t>EDS Lead</w:t>
            </w:r>
          </w:p>
        </w:tc>
        <w:tc>
          <w:tcPr>
            <w:tcW w:w="9773" w:type="dxa"/>
          </w:tcPr>
          <w:p w14:paraId="42DFF03C" w14:textId="4FBCA341" w:rsidR="005F29C3" w:rsidRDefault="00AE17C7" w:rsidP="00BB480F">
            <w:pPr>
              <w:rPr>
                <w:rFonts w:cs="Arial"/>
              </w:rPr>
            </w:pPr>
            <w:r>
              <w:rPr>
                <w:rFonts w:cs="Arial"/>
              </w:rPr>
              <w:t xml:space="preserve">Matt Asbrey &amp; </w:t>
            </w:r>
            <w:r w:rsidR="000771ED" w:rsidRPr="000771ED">
              <w:rPr>
                <w:rFonts w:cs="Arial"/>
              </w:rPr>
              <w:t xml:space="preserve">Farhana </w:t>
            </w:r>
            <w:proofErr w:type="spellStart"/>
            <w:r w:rsidR="000771ED" w:rsidRPr="000771ED">
              <w:rPr>
                <w:rFonts w:cs="Arial"/>
              </w:rPr>
              <w:t>Ahmedabadi-Patel</w:t>
            </w:r>
            <w:proofErr w:type="spellEnd"/>
          </w:p>
        </w:tc>
      </w:tr>
      <w:tr w:rsidR="005F29C3" w14:paraId="1FFD6B3E" w14:textId="77777777" w:rsidTr="00DB1EC8">
        <w:tc>
          <w:tcPr>
            <w:tcW w:w="3823" w:type="dxa"/>
            <w:shd w:val="clear" w:color="auto" w:fill="BDDEFF" w:themeFill="text2" w:themeFillTint="33"/>
          </w:tcPr>
          <w:p w14:paraId="17DC148D" w14:textId="4CFD6CC6" w:rsidR="005F29C3" w:rsidRPr="008F7BC3" w:rsidRDefault="00AE17C7" w:rsidP="00BB480F">
            <w:pPr>
              <w:rPr>
                <w:rFonts w:cs="Arial"/>
                <w:b/>
                <w:bCs/>
              </w:rPr>
            </w:pPr>
            <w:r w:rsidRPr="008F7BC3">
              <w:rPr>
                <w:rFonts w:cs="Arial"/>
                <w:b/>
                <w:bCs/>
              </w:rPr>
              <w:t>Period</w:t>
            </w:r>
          </w:p>
        </w:tc>
        <w:tc>
          <w:tcPr>
            <w:tcW w:w="9773" w:type="dxa"/>
          </w:tcPr>
          <w:p w14:paraId="710D22D0" w14:textId="5E44BE26" w:rsidR="005F29C3" w:rsidRDefault="00AE17C7" w:rsidP="00BB480F">
            <w:pPr>
              <w:rPr>
                <w:rFonts w:cs="Arial"/>
              </w:rPr>
            </w:pPr>
            <w:r>
              <w:rPr>
                <w:rFonts w:cs="Arial"/>
              </w:rPr>
              <w:t>2022 - 2024</w:t>
            </w:r>
          </w:p>
        </w:tc>
      </w:tr>
      <w:tr w:rsidR="005F29C3" w14:paraId="55ED7A8A" w14:textId="77777777" w:rsidTr="00DB1EC8">
        <w:tc>
          <w:tcPr>
            <w:tcW w:w="3823" w:type="dxa"/>
            <w:shd w:val="clear" w:color="auto" w:fill="BDDEFF" w:themeFill="text2" w:themeFillTint="33"/>
          </w:tcPr>
          <w:p w14:paraId="5807EFBB" w14:textId="57088BB3" w:rsidR="005F29C3" w:rsidRPr="008F7BC3" w:rsidRDefault="00AE17C7" w:rsidP="00BB480F">
            <w:pPr>
              <w:rPr>
                <w:rFonts w:cs="Arial"/>
                <w:b/>
                <w:bCs/>
              </w:rPr>
            </w:pPr>
            <w:r w:rsidRPr="008F7BC3">
              <w:rPr>
                <w:rFonts w:cs="Arial"/>
                <w:b/>
                <w:bCs/>
              </w:rPr>
              <w:t>EDS Sponsor</w:t>
            </w:r>
          </w:p>
        </w:tc>
        <w:tc>
          <w:tcPr>
            <w:tcW w:w="9773" w:type="dxa"/>
          </w:tcPr>
          <w:p w14:paraId="4384BA57" w14:textId="697B6D28" w:rsidR="005F29C3" w:rsidRDefault="00AE17C7" w:rsidP="00BB480F">
            <w:pPr>
              <w:rPr>
                <w:rFonts w:cs="Arial"/>
              </w:rPr>
            </w:pPr>
            <w:r>
              <w:rPr>
                <w:rFonts w:cs="Arial"/>
              </w:rPr>
              <w:t>Paula Kirkpatrick</w:t>
            </w:r>
          </w:p>
        </w:tc>
      </w:tr>
      <w:tr w:rsidR="005F29C3" w14:paraId="0CCCE49E" w14:textId="77777777" w:rsidTr="00DB1EC8">
        <w:tc>
          <w:tcPr>
            <w:tcW w:w="3823" w:type="dxa"/>
            <w:shd w:val="clear" w:color="auto" w:fill="BDDEFF" w:themeFill="text2" w:themeFillTint="33"/>
          </w:tcPr>
          <w:p w14:paraId="1282DF4B" w14:textId="7AD0223A" w:rsidR="005F29C3" w:rsidRPr="008F7BC3" w:rsidRDefault="008F7BC3" w:rsidP="00BB480F">
            <w:pPr>
              <w:rPr>
                <w:rFonts w:cs="Arial"/>
                <w:b/>
                <w:bCs/>
              </w:rPr>
            </w:pPr>
            <w:r w:rsidRPr="008F7BC3">
              <w:rPr>
                <w:rFonts w:cs="Arial"/>
                <w:b/>
                <w:bCs/>
              </w:rPr>
              <w:t>People Committee Approval</w:t>
            </w:r>
          </w:p>
        </w:tc>
        <w:tc>
          <w:tcPr>
            <w:tcW w:w="9773" w:type="dxa"/>
          </w:tcPr>
          <w:p w14:paraId="41BD0DF2" w14:textId="03E24654" w:rsidR="005F29C3" w:rsidRDefault="008F7BC3" w:rsidP="00BB480F">
            <w:pPr>
              <w:rPr>
                <w:rFonts w:cs="Arial"/>
              </w:rPr>
            </w:pPr>
            <w:r>
              <w:rPr>
                <w:rFonts w:cs="Arial"/>
              </w:rPr>
              <w:t>25 January 2024</w:t>
            </w:r>
          </w:p>
        </w:tc>
      </w:tr>
    </w:tbl>
    <w:p w14:paraId="7B2BCF25" w14:textId="77777777" w:rsidR="005F29C3" w:rsidRDefault="005F29C3" w:rsidP="00BB480F">
      <w:pPr>
        <w:rPr>
          <w:rFonts w:cs="Arial"/>
        </w:rPr>
      </w:pPr>
    </w:p>
    <w:p w14:paraId="0607ED81" w14:textId="29803AE7" w:rsidR="008434E4" w:rsidRPr="00EA4469" w:rsidRDefault="00EA4469" w:rsidP="00EA4469">
      <w:pPr>
        <w:jc w:val="center"/>
        <w:rPr>
          <w:rFonts w:cs="Arial"/>
          <w:b/>
          <w:bCs/>
        </w:rPr>
      </w:pPr>
      <w:r w:rsidRPr="00EA4469">
        <w:rPr>
          <w:rFonts w:cs="Arial"/>
          <w:b/>
          <w:bCs/>
        </w:rPr>
        <w:t>Domain1: Commissioned or provided services</w:t>
      </w:r>
    </w:p>
    <w:p w14:paraId="7E4E696D" w14:textId="77777777" w:rsidR="00EA4469" w:rsidRDefault="00EA4469" w:rsidP="00BB480F">
      <w:pPr>
        <w:rPr>
          <w:rFonts w:cs="Arial"/>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8"/>
        <w:gridCol w:w="3398"/>
        <w:gridCol w:w="3401"/>
        <w:gridCol w:w="3399"/>
      </w:tblGrid>
      <w:tr w:rsidR="00EA4469" w:rsidRPr="005945E7" w14:paraId="61071CED" w14:textId="77777777" w:rsidTr="005945E7">
        <w:tc>
          <w:tcPr>
            <w:tcW w:w="3401" w:type="dxa"/>
            <w:shd w:val="clear" w:color="auto" w:fill="BDDEFF" w:themeFill="text2" w:themeFillTint="33"/>
          </w:tcPr>
          <w:p w14:paraId="3876D5D7" w14:textId="439E7232" w:rsidR="00EA4469" w:rsidRPr="005945E7" w:rsidRDefault="00EA4469" w:rsidP="005945E7">
            <w:pPr>
              <w:jc w:val="center"/>
              <w:rPr>
                <w:rFonts w:cs="Arial"/>
                <w:b/>
                <w:bCs/>
              </w:rPr>
            </w:pPr>
            <w:proofErr w:type="spellStart"/>
            <w:r w:rsidRPr="005945E7">
              <w:rPr>
                <w:rFonts w:cs="Arial"/>
                <w:b/>
                <w:bCs/>
              </w:rPr>
              <w:t>Domian</w:t>
            </w:r>
            <w:proofErr w:type="spellEnd"/>
            <w:r w:rsidRPr="005945E7">
              <w:rPr>
                <w:rFonts w:cs="Arial"/>
                <w:b/>
                <w:bCs/>
              </w:rPr>
              <w:t xml:space="preserve"> Outcomes</w:t>
            </w:r>
          </w:p>
        </w:tc>
        <w:tc>
          <w:tcPr>
            <w:tcW w:w="3401" w:type="dxa"/>
            <w:shd w:val="clear" w:color="auto" w:fill="BDDEFF" w:themeFill="text2" w:themeFillTint="33"/>
          </w:tcPr>
          <w:p w14:paraId="41F66815" w14:textId="1B79CC04" w:rsidR="00EA4469" w:rsidRPr="005945E7" w:rsidRDefault="00BF2655" w:rsidP="005945E7">
            <w:pPr>
              <w:jc w:val="center"/>
              <w:rPr>
                <w:rFonts w:cs="Arial"/>
                <w:b/>
                <w:bCs/>
              </w:rPr>
            </w:pPr>
            <w:r>
              <w:rPr>
                <w:rFonts w:cs="Arial"/>
                <w:b/>
                <w:bCs/>
              </w:rPr>
              <w:t>Objective</w:t>
            </w:r>
          </w:p>
        </w:tc>
        <w:tc>
          <w:tcPr>
            <w:tcW w:w="3402" w:type="dxa"/>
            <w:shd w:val="clear" w:color="auto" w:fill="BDDEFF" w:themeFill="text2" w:themeFillTint="33"/>
          </w:tcPr>
          <w:p w14:paraId="2503B257" w14:textId="1C838072" w:rsidR="00EA4469" w:rsidRPr="005945E7" w:rsidRDefault="00BF2655" w:rsidP="005945E7">
            <w:pPr>
              <w:jc w:val="center"/>
              <w:rPr>
                <w:rFonts w:cs="Arial"/>
                <w:b/>
                <w:bCs/>
              </w:rPr>
            </w:pPr>
            <w:r>
              <w:rPr>
                <w:rFonts w:cs="Arial"/>
                <w:b/>
                <w:bCs/>
              </w:rPr>
              <w:t>Action</w:t>
            </w:r>
          </w:p>
        </w:tc>
        <w:tc>
          <w:tcPr>
            <w:tcW w:w="3402" w:type="dxa"/>
            <w:shd w:val="clear" w:color="auto" w:fill="BDDEFF" w:themeFill="text2" w:themeFillTint="33"/>
          </w:tcPr>
          <w:p w14:paraId="19DD7CBD" w14:textId="5472C473" w:rsidR="00EA4469" w:rsidRPr="005945E7" w:rsidRDefault="00BF2655" w:rsidP="005945E7">
            <w:pPr>
              <w:jc w:val="center"/>
              <w:rPr>
                <w:rFonts w:cs="Arial"/>
                <w:b/>
                <w:bCs/>
              </w:rPr>
            </w:pPr>
            <w:r>
              <w:rPr>
                <w:rFonts w:cs="Arial"/>
                <w:b/>
                <w:bCs/>
              </w:rPr>
              <w:t>Completion Date</w:t>
            </w:r>
          </w:p>
        </w:tc>
      </w:tr>
      <w:tr w:rsidR="00EA4469" w14:paraId="528915EF" w14:textId="77777777" w:rsidTr="00EA4469">
        <w:tc>
          <w:tcPr>
            <w:tcW w:w="3401" w:type="dxa"/>
          </w:tcPr>
          <w:p w14:paraId="3118968C" w14:textId="77777777" w:rsidR="005945E7" w:rsidRPr="005945E7" w:rsidRDefault="005945E7" w:rsidP="005945E7">
            <w:pPr>
              <w:rPr>
                <w:rFonts w:cs="Arial"/>
              </w:rPr>
            </w:pPr>
            <w:r w:rsidRPr="005945E7">
              <w:rPr>
                <w:rFonts w:cs="Arial"/>
              </w:rPr>
              <w:t xml:space="preserve">1A: Patients (service users) </w:t>
            </w:r>
          </w:p>
          <w:p w14:paraId="175450FA" w14:textId="77777777" w:rsidR="005945E7" w:rsidRPr="005945E7" w:rsidRDefault="005945E7" w:rsidP="005945E7">
            <w:pPr>
              <w:rPr>
                <w:rFonts w:cs="Arial"/>
              </w:rPr>
            </w:pPr>
            <w:r w:rsidRPr="005945E7">
              <w:rPr>
                <w:rFonts w:cs="Arial"/>
              </w:rPr>
              <w:t xml:space="preserve">have required levels of </w:t>
            </w:r>
          </w:p>
          <w:p w14:paraId="18B351AD" w14:textId="77777777" w:rsidR="005945E7" w:rsidRDefault="005945E7" w:rsidP="005945E7">
            <w:pPr>
              <w:rPr>
                <w:rFonts w:cs="Arial"/>
              </w:rPr>
            </w:pPr>
            <w:r w:rsidRPr="005945E7">
              <w:rPr>
                <w:rFonts w:cs="Arial"/>
              </w:rPr>
              <w:t>access to the service</w:t>
            </w:r>
          </w:p>
          <w:p w14:paraId="32574160" w14:textId="77777777" w:rsidR="005945E7" w:rsidRPr="005945E7" w:rsidRDefault="005945E7" w:rsidP="005945E7">
            <w:pPr>
              <w:rPr>
                <w:rFonts w:cs="Arial"/>
              </w:rPr>
            </w:pPr>
          </w:p>
          <w:p w14:paraId="32511EEF" w14:textId="77777777" w:rsidR="005945E7" w:rsidRPr="005945E7" w:rsidRDefault="005945E7" w:rsidP="005945E7">
            <w:pPr>
              <w:rPr>
                <w:rFonts w:cs="Arial"/>
              </w:rPr>
            </w:pPr>
            <w:r w:rsidRPr="005945E7">
              <w:rPr>
                <w:rFonts w:cs="Arial"/>
              </w:rPr>
              <w:t xml:space="preserve">1B: Individual patients </w:t>
            </w:r>
          </w:p>
          <w:p w14:paraId="6D1C7C6E" w14:textId="77777777" w:rsidR="005945E7" w:rsidRPr="005945E7" w:rsidRDefault="005945E7" w:rsidP="005945E7">
            <w:pPr>
              <w:rPr>
                <w:rFonts w:cs="Arial"/>
              </w:rPr>
            </w:pPr>
            <w:r w:rsidRPr="005945E7">
              <w:rPr>
                <w:rFonts w:cs="Arial"/>
              </w:rPr>
              <w:t xml:space="preserve">(service users) health needs </w:t>
            </w:r>
          </w:p>
          <w:p w14:paraId="78DE7E58" w14:textId="77777777" w:rsidR="005945E7" w:rsidRDefault="005945E7" w:rsidP="005945E7">
            <w:pPr>
              <w:rPr>
                <w:rFonts w:cs="Arial"/>
              </w:rPr>
            </w:pPr>
            <w:r w:rsidRPr="005945E7">
              <w:rPr>
                <w:rFonts w:cs="Arial"/>
              </w:rPr>
              <w:t>are met</w:t>
            </w:r>
          </w:p>
          <w:p w14:paraId="5B330FF9" w14:textId="77777777" w:rsidR="005945E7" w:rsidRPr="005945E7" w:rsidRDefault="005945E7" w:rsidP="005945E7">
            <w:pPr>
              <w:rPr>
                <w:rFonts w:cs="Arial"/>
              </w:rPr>
            </w:pPr>
          </w:p>
          <w:p w14:paraId="0AA1F5E0" w14:textId="77777777" w:rsidR="005945E7" w:rsidRPr="005945E7" w:rsidRDefault="005945E7" w:rsidP="005945E7">
            <w:pPr>
              <w:rPr>
                <w:rFonts w:cs="Arial"/>
              </w:rPr>
            </w:pPr>
            <w:r w:rsidRPr="005945E7">
              <w:rPr>
                <w:rFonts w:cs="Arial"/>
              </w:rPr>
              <w:t xml:space="preserve">1C: When patients (service </w:t>
            </w:r>
          </w:p>
          <w:p w14:paraId="02624841" w14:textId="77777777" w:rsidR="005945E7" w:rsidRPr="005945E7" w:rsidRDefault="005945E7" w:rsidP="005945E7">
            <w:pPr>
              <w:rPr>
                <w:rFonts w:cs="Arial"/>
              </w:rPr>
            </w:pPr>
            <w:r w:rsidRPr="005945E7">
              <w:rPr>
                <w:rFonts w:cs="Arial"/>
              </w:rPr>
              <w:t xml:space="preserve">users) use the service, they </w:t>
            </w:r>
          </w:p>
          <w:p w14:paraId="0F7A89BB" w14:textId="77777777" w:rsidR="005945E7" w:rsidRDefault="005945E7" w:rsidP="005945E7">
            <w:pPr>
              <w:rPr>
                <w:rFonts w:cs="Arial"/>
              </w:rPr>
            </w:pPr>
            <w:r w:rsidRPr="005945E7">
              <w:rPr>
                <w:rFonts w:cs="Arial"/>
              </w:rPr>
              <w:t>are free from harm</w:t>
            </w:r>
          </w:p>
          <w:p w14:paraId="5D565BA0" w14:textId="77777777" w:rsidR="005945E7" w:rsidRPr="005945E7" w:rsidRDefault="005945E7" w:rsidP="005945E7">
            <w:pPr>
              <w:rPr>
                <w:rFonts w:cs="Arial"/>
              </w:rPr>
            </w:pPr>
          </w:p>
          <w:p w14:paraId="6B02938A" w14:textId="77777777" w:rsidR="005945E7" w:rsidRPr="005945E7" w:rsidRDefault="005945E7" w:rsidP="005945E7">
            <w:pPr>
              <w:rPr>
                <w:rFonts w:cs="Arial"/>
              </w:rPr>
            </w:pPr>
            <w:r w:rsidRPr="005945E7">
              <w:rPr>
                <w:rFonts w:cs="Arial"/>
              </w:rPr>
              <w:t xml:space="preserve">1D: Patients (service users) </w:t>
            </w:r>
          </w:p>
          <w:p w14:paraId="5CE30659" w14:textId="77777777" w:rsidR="005945E7" w:rsidRPr="005945E7" w:rsidRDefault="005945E7" w:rsidP="005945E7">
            <w:pPr>
              <w:rPr>
                <w:rFonts w:cs="Arial"/>
              </w:rPr>
            </w:pPr>
            <w:r w:rsidRPr="005945E7">
              <w:rPr>
                <w:rFonts w:cs="Arial"/>
              </w:rPr>
              <w:t xml:space="preserve">report positive experiences </w:t>
            </w:r>
          </w:p>
          <w:p w14:paraId="68ED87C3" w14:textId="0C776FDC" w:rsidR="00EA4469" w:rsidRDefault="005945E7" w:rsidP="005945E7">
            <w:pPr>
              <w:rPr>
                <w:rFonts w:cs="Arial"/>
              </w:rPr>
            </w:pPr>
            <w:r w:rsidRPr="005945E7">
              <w:rPr>
                <w:rFonts w:cs="Arial"/>
              </w:rPr>
              <w:t>of the service</w:t>
            </w:r>
          </w:p>
        </w:tc>
        <w:tc>
          <w:tcPr>
            <w:tcW w:w="3401" w:type="dxa"/>
          </w:tcPr>
          <w:p w14:paraId="7B7E319B" w14:textId="77777777" w:rsidR="00EA4469" w:rsidRDefault="00EA4469" w:rsidP="00BB480F">
            <w:pPr>
              <w:rPr>
                <w:rFonts w:cs="Arial"/>
              </w:rPr>
            </w:pPr>
          </w:p>
        </w:tc>
        <w:tc>
          <w:tcPr>
            <w:tcW w:w="3402" w:type="dxa"/>
          </w:tcPr>
          <w:p w14:paraId="1E7B3A32" w14:textId="77777777" w:rsidR="007D01C0" w:rsidRDefault="00C2425F" w:rsidP="00BB480F">
            <w:r>
              <w:t>Actions under Domain 1 for Chaplaincy</w:t>
            </w:r>
            <w:r w:rsidR="007D01C0">
              <w:t xml:space="preserve"> Services</w:t>
            </w:r>
            <w:r>
              <w:t xml:space="preserve"> have been developed in conjunction with Northamptonshire Integrated Care Board. </w:t>
            </w:r>
          </w:p>
          <w:p w14:paraId="367B8773" w14:textId="77777777" w:rsidR="007D01C0" w:rsidRDefault="007D01C0" w:rsidP="00BB480F"/>
          <w:p w14:paraId="54D041FB" w14:textId="687EA60D" w:rsidR="00C2425F" w:rsidRDefault="00C2425F" w:rsidP="00BB480F">
            <w:r>
              <w:t xml:space="preserve">Action plans </w:t>
            </w:r>
            <w:r w:rsidR="0019651F">
              <w:t>can be viewed at the below link</w:t>
            </w:r>
            <w:r>
              <w:t xml:space="preserve"> </w:t>
            </w:r>
          </w:p>
          <w:p w14:paraId="2E8A191C" w14:textId="77777777" w:rsidR="00C2425F" w:rsidRDefault="00C2425F" w:rsidP="00BB480F"/>
          <w:p w14:paraId="33420B7C" w14:textId="20776D2D" w:rsidR="00EA4469" w:rsidRDefault="001B7CA2" w:rsidP="00BB480F">
            <w:pPr>
              <w:rPr>
                <w:rFonts w:cs="Arial"/>
              </w:rPr>
            </w:pPr>
            <w:hyperlink r:id="rId16" w:history="1">
              <w:r w:rsidR="00DB1EC8">
                <w:rPr>
                  <w:rStyle w:val="Hyperlink"/>
                </w:rPr>
                <w:t>Home | Integrated Care Northamptonshire (icnorthamptonshire.org.uk)</w:t>
              </w:r>
            </w:hyperlink>
          </w:p>
        </w:tc>
        <w:tc>
          <w:tcPr>
            <w:tcW w:w="3402" w:type="dxa"/>
          </w:tcPr>
          <w:p w14:paraId="07BF5769" w14:textId="4C8BA3C2" w:rsidR="00EA4469" w:rsidRDefault="00DB1EC8" w:rsidP="00BB480F">
            <w:pPr>
              <w:rPr>
                <w:rFonts w:cs="Arial"/>
              </w:rPr>
            </w:pPr>
            <w:r>
              <w:rPr>
                <w:rFonts w:cs="Arial"/>
              </w:rPr>
              <w:t xml:space="preserve"> 30 March </w:t>
            </w:r>
            <w:r w:rsidR="0064190E">
              <w:rPr>
                <w:rFonts w:cs="Arial"/>
              </w:rPr>
              <w:t>2027</w:t>
            </w:r>
          </w:p>
        </w:tc>
      </w:tr>
    </w:tbl>
    <w:p w14:paraId="099D1580" w14:textId="77777777" w:rsidR="00EA4469" w:rsidRDefault="00EA4469" w:rsidP="00BB480F">
      <w:pPr>
        <w:rPr>
          <w:rFonts w:cs="Arial"/>
        </w:rPr>
      </w:pPr>
    </w:p>
    <w:p w14:paraId="2E36C855" w14:textId="78745EF0" w:rsidR="0019651F" w:rsidRDefault="0019651F" w:rsidP="0019651F">
      <w:pPr>
        <w:jc w:val="center"/>
        <w:rPr>
          <w:rFonts w:cs="Arial"/>
          <w:b/>
          <w:bCs/>
        </w:rPr>
      </w:pPr>
      <w:r w:rsidRPr="00EA4469">
        <w:rPr>
          <w:rFonts w:cs="Arial"/>
          <w:b/>
          <w:bCs/>
        </w:rPr>
        <w:t>Domain</w:t>
      </w:r>
      <w:r>
        <w:rPr>
          <w:rFonts w:cs="Arial"/>
          <w:b/>
          <w:bCs/>
        </w:rPr>
        <w:t xml:space="preserve"> 2</w:t>
      </w:r>
      <w:r w:rsidRPr="00EA4469">
        <w:rPr>
          <w:rFonts w:cs="Arial"/>
          <w:b/>
          <w:bCs/>
        </w:rPr>
        <w:t xml:space="preserve">: </w:t>
      </w:r>
      <w:r>
        <w:rPr>
          <w:rFonts w:cs="Arial"/>
          <w:b/>
          <w:bCs/>
        </w:rPr>
        <w:t>Workforce Health &amp; Wellbeing</w:t>
      </w:r>
    </w:p>
    <w:p w14:paraId="735D536B" w14:textId="77777777" w:rsidR="0019651F" w:rsidRDefault="0019651F" w:rsidP="0019651F">
      <w:pPr>
        <w:jc w:val="center"/>
        <w:rPr>
          <w:rFonts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8"/>
        <w:gridCol w:w="3400"/>
        <w:gridCol w:w="3399"/>
      </w:tblGrid>
      <w:tr w:rsidR="00756931" w:rsidRPr="005945E7" w14:paraId="4E28EB45" w14:textId="77777777" w:rsidTr="00CF5F45">
        <w:tc>
          <w:tcPr>
            <w:tcW w:w="3401" w:type="dxa"/>
            <w:shd w:val="clear" w:color="auto" w:fill="BDDEFF" w:themeFill="text2" w:themeFillTint="33"/>
          </w:tcPr>
          <w:p w14:paraId="1EFE51C1" w14:textId="77777777" w:rsidR="00AC591F" w:rsidRPr="005945E7" w:rsidRDefault="00AC591F" w:rsidP="00CF5F45">
            <w:pPr>
              <w:jc w:val="center"/>
              <w:rPr>
                <w:rFonts w:cs="Arial"/>
                <w:b/>
                <w:bCs/>
              </w:rPr>
            </w:pPr>
            <w:proofErr w:type="spellStart"/>
            <w:r w:rsidRPr="005945E7">
              <w:rPr>
                <w:rFonts w:cs="Arial"/>
                <w:b/>
                <w:bCs/>
              </w:rPr>
              <w:t>Domian</w:t>
            </w:r>
            <w:proofErr w:type="spellEnd"/>
            <w:r w:rsidRPr="005945E7">
              <w:rPr>
                <w:rFonts w:cs="Arial"/>
                <w:b/>
                <w:bCs/>
              </w:rPr>
              <w:t xml:space="preserve"> Outcomes</w:t>
            </w:r>
          </w:p>
        </w:tc>
        <w:tc>
          <w:tcPr>
            <w:tcW w:w="3401" w:type="dxa"/>
            <w:shd w:val="clear" w:color="auto" w:fill="BDDEFF" w:themeFill="text2" w:themeFillTint="33"/>
          </w:tcPr>
          <w:p w14:paraId="1D930FD0" w14:textId="77777777" w:rsidR="00AC591F" w:rsidRPr="005945E7" w:rsidRDefault="00AC591F" w:rsidP="00CF5F45">
            <w:pPr>
              <w:jc w:val="center"/>
              <w:rPr>
                <w:rFonts w:cs="Arial"/>
                <w:b/>
                <w:bCs/>
              </w:rPr>
            </w:pPr>
            <w:r>
              <w:rPr>
                <w:rFonts w:cs="Arial"/>
                <w:b/>
                <w:bCs/>
              </w:rPr>
              <w:t>Objective</w:t>
            </w:r>
          </w:p>
        </w:tc>
        <w:tc>
          <w:tcPr>
            <w:tcW w:w="3402" w:type="dxa"/>
            <w:shd w:val="clear" w:color="auto" w:fill="BDDEFF" w:themeFill="text2" w:themeFillTint="33"/>
          </w:tcPr>
          <w:p w14:paraId="2DD268F8" w14:textId="77777777" w:rsidR="00AC591F" w:rsidRPr="005945E7" w:rsidRDefault="00AC591F" w:rsidP="00CF5F45">
            <w:pPr>
              <w:jc w:val="center"/>
              <w:rPr>
                <w:rFonts w:cs="Arial"/>
                <w:b/>
                <w:bCs/>
              </w:rPr>
            </w:pPr>
            <w:r>
              <w:rPr>
                <w:rFonts w:cs="Arial"/>
                <w:b/>
                <w:bCs/>
              </w:rPr>
              <w:t>Action</w:t>
            </w:r>
          </w:p>
        </w:tc>
        <w:tc>
          <w:tcPr>
            <w:tcW w:w="3402" w:type="dxa"/>
            <w:shd w:val="clear" w:color="auto" w:fill="BDDEFF" w:themeFill="text2" w:themeFillTint="33"/>
          </w:tcPr>
          <w:p w14:paraId="7C11B3BA" w14:textId="77777777" w:rsidR="00AC591F" w:rsidRPr="005945E7" w:rsidRDefault="00AC591F" w:rsidP="00CF5F45">
            <w:pPr>
              <w:jc w:val="center"/>
              <w:rPr>
                <w:rFonts w:cs="Arial"/>
                <w:b/>
                <w:bCs/>
              </w:rPr>
            </w:pPr>
            <w:r>
              <w:rPr>
                <w:rFonts w:cs="Arial"/>
                <w:b/>
                <w:bCs/>
              </w:rPr>
              <w:t>Completion Date</w:t>
            </w:r>
          </w:p>
        </w:tc>
      </w:tr>
      <w:tr w:rsidR="00AC591F" w14:paraId="189471C1" w14:textId="77777777" w:rsidTr="00CF5F45">
        <w:tc>
          <w:tcPr>
            <w:tcW w:w="3401" w:type="dxa"/>
          </w:tcPr>
          <w:p w14:paraId="7E3B9679" w14:textId="77777777" w:rsidR="00756931" w:rsidRDefault="00756931" w:rsidP="00CF5F45">
            <w:r>
              <w:t xml:space="preserve">2A: When at work, staff are provided with support to manage obesity, diabetes, asthma, COPD and mental health conditions </w:t>
            </w:r>
          </w:p>
          <w:p w14:paraId="2CE4E1A1" w14:textId="77777777" w:rsidR="00756931" w:rsidRDefault="00756931" w:rsidP="00CF5F45"/>
          <w:p w14:paraId="614B2496" w14:textId="77777777" w:rsidR="00AC591F" w:rsidRDefault="00756931" w:rsidP="00CF5F45">
            <w:r>
              <w:t>2B: When at work, staff are free from abuse, harassment, bullying and physical violence from any source</w:t>
            </w:r>
          </w:p>
          <w:p w14:paraId="241FCA52" w14:textId="77777777" w:rsidR="00756931" w:rsidRDefault="00756931" w:rsidP="00CF5F45">
            <w:pPr>
              <w:rPr>
                <w:rFonts w:cs="Arial"/>
              </w:rPr>
            </w:pPr>
          </w:p>
          <w:p w14:paraId="482BAB5C" w14:textId="77777777" w:rsidR="00756931" w:rsidRDefault="00C77EF5" w:rsidP="00CF5F45">
            <w:r>
              <w:t>2C: Staff have access to independent support and advice when suffering from stress, abuse, bullying harassment and physical violence from any source</w:t>
            </w:r>
          </w:p>
          <w:p w14:paraId="2EA24FED" w14:textId="77777777" w:rsidR="00C77EF5" w:rsidRDefault="00C77EF5" w:rsidP="00CF5F45">
            <w:pPr>
              <w:rPr>
                <w:rFonts w:cs="Arial"/>
              </w:rPr>
            </w:pPr>
          </w:p>
          <w:p w14:paraId="006E2F6C" w14:textId="08141866" w:rsidR="00C77EF5" w:rsidRDefault="000C24CA" w:rsidP="00CF5F45">
            <w:pPr>
              <w:rPr>
                <w:rFonts w:cs="Arial"/>
              </w:rPr>
            </w:pPr>
            <w:r>
              <w:t>2D: Staff recommend the organisation as a place to work and receive treatment</w:t>
            </w:r>
          </w:p>
        </w:tc>
        <w:tc>
          <w:tcPr>
            <w:tcW w:w="3401" w:type="dxa"/>
          </w:tcPr>
          <w:p w14:paraId="1E1DE108" w14:textId="77777777" w:rsidR="00AC591F" w:rsidRDefault="00AC591F" w:rsidP="00CF5F45">
            <w:pPr>
              <w:rPr>
                <w:rFonts w:cs="Arial"/>
              </w:rPr>
            </w:pPr>
          </w:p>
        </w:tc>
        <w:tc>
          <w:tcPr>
            <w:tcW w:w="3402" w:type="dxa"/>
          </w:tcPr>
          <w:p w14:paraId="7AD25EE2" w14:textId="2E469EF1" w:rsidR="00831618" w:rsidRDefault="00831618" w:rsidP="00831618">
            <w:pPr>
              <w:pStyle w:val="ListParagraph"/>
              <w:numPr>
                <w:ilvl w:val="0"/>
                <w:numId w:val="24"/>
              </w:numPr>
            </w:pPr>
            <w:r>
              <w:t xml:space="preserve">Review current offer of support for colleagues to </w:t>
            </w:r>
            <w:r w:rsidR="00231F5E">
              <w:t>manage long term health conditions</w:t>
            </w:r>
          </w:p>
          <w:p w14:paraId="24C09945" w14:textId="77777777" w:rsidR="00231F5E" w:rsidRPr="00231F5E" w:rsidRDefault="0037375B" w:rsidP="00231F5E">
            <w:pPr>
              <w:pStyle w:val="ListParagraph"/>
              <w:numPr>
                <w:ilvl w:val="0"/>
                <w:numId w:val="24"/>
              </w:numPr>
              <w:rPr>
                <w:rFonts w:cs="Arial"/>
              </w:rPr>
            </w:pPr>
            <w:r>
              <w:lastRenderedPageBreak/>
              <w:t xml:space="preserve">Increased visual deterrents in patient areas to advise abuse of NHS staff will not be accepted. </w:t>
            </w:r>
          </w:p>
          <w:p w14:paraId="608D8B52" w14:textId="77777777" w:rsidR="00231F5E" w:rsidRPr="00231F5E" w:rsidRDefault="00231F5E" w:rsidP="00231F5E">
            <w:pPr>
              <w:pStyle w:val="ListParagraph"/>
              <w:numPr>
                <w:ilvl w:val="0"/>
                <w:numId w:val="24"/>
              </w:numPr>
              <w:rPr>
                <w:rFonts w:cs="Arial"/>
              </w:rPr>
            </w:pPr>
            <w:r>
              <w:t>P</w:t>
            </w:r>
            <w:r w:rsidR="0037375B">
              <w:t>osters to be displayed in clinical areas</w:t>
            </w:r>
          </w:p>
          <w:p w14:paraId="55AD8018" w14:textId="77777777" w:rsidR="009D6E1D" w:rsidRPr="00F478DD" w:rsidRDefault="009D6E1D" w:rsidP="00231F5E">
            <w:pPr>
              <w:pStyle w:val="ListParagraph"/>
              <w:numPr>
                <w:ilvl w:val="0"/>
                <w:numId w:val="24"/>
              </w:numPr>
              <w:rPr>
                <w:rFonts w:cs="Arial"/>
              </w:rPr>
            </w:pPr>
            <w:r>
              <w:t>Create a Tackling Racism Strategy &amp; Toolkit</w:t>
            </w:r>
          </w:p>
          <w:p w14:paraId="1F6076B7" w14:textId="77777777" w:rsidR="008C4997" w:rsidRPr="008C4997" w:rsidRDefault="00F478DD" w:rsidP="00231F5E">
            <w:pPr>
              <w:pStyle w:val="ListParagraph"/>
              <w:numPr>
                <w:ilvl w:val="0"/>
                <w:numId w:val="24"/>
              </w:numPr>
              <w:rPr>
                <w:rFonts w:cs="Arial"/>
              </w:rPr>
            </w:pPr>
            <w:r>
              <w:t xml:space="preserve">Create an </w:t>
            </w:r>
            <w:r w:rsidR="00D9373B">
              <w:t xml:space="preserve">Group Equality, </w:t>
            </w:r>
            <w:r>
              <w:t>Inclusion</w:t>
            </w:r>
            <w:r w:rsidR="00D9373B">
              <w:t xml:space="preserve"> &amp; Human Rights Policy</w:t>
            </w:r>
          </w:p>
          <w:p w14:paraId="13EE98EF" w14:textId="371E92DF" w:rsidR="00F478DD" w:rsidRPr="009D6E1D" w:rsidRDefault="00F478DD" w:rsidP="002C5399">
            <w:pPr>
              <w:pStyle w:val="ListParagraph"/>
              <w:rPr>
                <w:rFonts w:cs="Arial"/>
              </w:rPr>
            </w:pPr>
          </w:p>
          <w:p w14:paraId="48A9AA48" w14:textId="1BE473A0" w:rsidR="00AC591F" w:rsidRPr="00231F5E" w:rsidRDefault="00AC591F" w:rsidP="00F478DD">
            <w:pPr>
              <w:pStyle w:val="ListParagraph"/>
              <w:rPr>
                <w:rFonts w:cs="Arial"/>
              </w:rPr>
            </w:pPr>
          </w:p>
        </w:tc>
        <w:tc>
          <w:tcPr>
            <w:tcW w:w="3402" w:type="dxa"/>
          </w:tcPr>
          <w:p w14:paraId="2FF657D6" w14:textId="592A912D" w:rsidR="00AC591F" w:rsidRDefault="00AC591F" w:rsidP="00CF5F45">
            <w:pPr>
              <w:rPr>
                <w:rFonts w:cs="Arial"/>
              </w:rPr>
            </w:pPr>
            <w:r>
              <w:rPr>
                <w:rFonts w:cs="Arial"/>
              </w:rPr>
              <w:lastRenderedPageBreak/>
              <w:t xml:space="preserve"> 30 </w:t>
            </w:r>
            <w:r w:rsidR="00947724">
              <w:rPr>
                <w:rFonts w:cs="Arial"/>
              </w:rPr>
              <w:t>September</w:t>
            </w:r>
            <w:r>
              <w:rPr>
                <w:rFonts w:cs="Arial"/>
              </w:rPr>
              <w:t xml:space="preserve"> 202</w:t>
            </w:r>
            <w:r w:rsidR="00947724">
              <w:rPr>
                <w:rFonts w:cs="Arial"/>
              </w:rPr>
              <w:t>4</w:t>
            </w:r>
          </w:p>
        </w:tc>
      </w:tr>
    </w:tbl>
    <w:p w14:paraId="4CD476BA" w14:textId="77777777" w:rsidR="0019651F" w:rsidRDefault="0019651F" w:rsidP="0019651F">
      <w:pPr>
        <w:jc w:val="center"/>
        <w:rPr>
          <w:rFonts w:cs="Arial"/>
        </w:rPr>
      </w:pPr>
    </w:p>
    <w:p w14:paraId="1802BF53" w14:textId="15E6686B" w:rsidR="00AC591F" w:rsidRDefault="00AC591F" w:rsidP="00AC591F">
      <w:pPr>
        <w:jc w:val="center"/>
        <w:rPr>
          <w:rFonts w:cs="Arial"/>
          <w:b/>
          <w:bCs/>
        </w:rPr>
      </w:pPr>
      <w:r w:rsidRPr="00EA4469">
        <w:rPr>
          <w:rFonts w:cs="Arial"/>
          <w:b/>
          <w:bCs/>
        </w:rPr>
        <w:t>Domain</w:t>
      </w:r>
      <w:r>
        <w:rPr>
          <w:rFonts w:cs="Arial"/>
          <w:b/>
          <w:bCs/>
        </w:rPr>
        <w:t xml:space="preserve"> 3</w:t>
      </w:r>
      <w:r w:rsidRPr="00EA4469">
        <w:rPr>
          <w:rFonts w:cs="Arial"/>
          <w:b/>
          <w:bCs/>
        </w:rPr>
        <w:t xml:space="preserve">: </w:t>
      </w:r>
      <w:r w:rsidR="001739F9">
        <w:rPr>
          <w:rFonts w:cs="Arial"/>
          <w:b/>
          <w:bCs/>
        </w:rPr>
        <w:t>Inclusive Leadership</w:t>
      </w:r>
    </w:p>
    <w:p w14:paraId="3C72A340" w14:textId="77777777" w:rsidR="00AC591F" w:rsidRDefault="00AC591F" w:rsidP="00AC591F">
      <w:pPr>
        <w:jc w:val="center"/>
        <w:rPr>
          <w:rFonts w:cs="Arial"/>
          <w:b/>
          <w:bCs/>
        </w:rPr>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9"/>
        <w:gridCol w:w="3398"/>
        <w:gridCol w:w="3400"/>
        <w:gridCol w:w="3399"/>
      </w:tblGrid>
      <w:tr w:rsidR="00B75F16" w:rsidRPr="005945E7" w14:paraId="594C6A21" w14:textId="77777777" w:rsidTr="00CF5F45">
        <w:tc>
          <w:tcPr>
            <w:tcW w:w="3401" w:type="dxa"/>
            <w:shd w:val="clear" w:color="auto" w:fill="BDDEFF" w:themeFill="text2" w:themeFillTint="33"/>
          </w:tcPr>
          <w:p w14:paraId="14EDAEC3" w14:textId="77777777" w:rsidR="00AC591F" w:rsidRPr="005945E7" w:rsidRDefault="00AC591F" w:rsidP="00CF5F45">
            <w:pPr>
              <w:jc w:val="center"/>
              <w:rPr>
                <w:rFonts w:cs="Arial"/>
                <w:b/>
                <w:bCs/>
              </w:rPr>
            </w:pPr>
            <w:proofErr w:type="spellStart"/>
            <w:r w:rsidRPr="005945E7">
              <w:rPr>
                <w:rFonts w:cs="Arial"/>
                <w:b/>
                <w:bCs/>
              </w:rPr>
              <w:t>Domian</w:t>
            </w:r>
            <w:proofErr w:type="spellEnd"/>
            <w:r w:rsidRPr="005945E7">
              <w:rPr>
                <w:rFonts w:cs="Arial"/>
                <w:b/>
                <w:bCs/>
              </w:rPr>
              <w:t xml:space="preserve"> Outcomes</w:t>
            </w:r>
          </w:p>
        </w:tc>
        <w:tc>
          <w:tcPr>
            <w:tcW w:w="3401" w:type="dxa"/>
            <w:shd w:val="clear" w:color="auto" w:fill="BDDEFF" w:themeFill="text2" w:themeFillTint="33"/>
          </w:tcPr>
          <w:p w14:paraId="7D562084" w14:textId="77777777" w:rsidR="00AC591F" w:rsidRPr="005945E7" w:rsidRDefault="00AC591F" w:rsidP="00CF5F45">
            <w:pPr>
              <w:jc w:val="center"/>
              <w:rPr>
                <w:rFonts w:cs="Arial"/>
                <w:b/>
                <w:bCs/>
              </w:rPr>
            </w:pPr>
            <w:r>
              <w:rPr>
                <w:rFonts w:cs="Arial"/>
                <w:b/>
                <w:bCs/>
              </w:rPr>
              <w:t>Objective</w:t>
            </w:r>
          </w:p>
        </w:tc>
        <w:tc>
          <w:tcPr>
            <w:tcW w:w="3402" w:type="dxa"/>
            <w:shd w:val="clear" w:color="auto" w:fill="BDDEFF" w:themeFill="text2" w:themeFillTint="33"/>
          </w:tcPr>
          <w:p w14:paraId="6C2A5233" w14:textId="77777777" w:rsidR="00AC591F" w:rsidRPr="005945E7" w:rsidRDefault="00AC591F" w:rsidP="00CF5F45">
            <w:pPr>
              <w:jc w:val="center"/>
              <w:rPr>
                <w:rFonts w:cs="Arial"/>
                <w:b/>
                <w:bCs/>
              </w:rPr>
            </w:pPr>
            <w:r>
              <w:rPr>
                <w:rFonts w:cs="Arial"/>
                <w:b/>
                <w:bCs/>
              </w:rPr>
              <w:t>Action</w:t>
            </w:r>
          </w:p>
        </w:tc>
        <w:tc>
          <w:tcPr>
            <w:tcW w:w="3402" w:type="dxa"/>
            <w:shd w:val="clear" w:color="auto" w:fill="BDDEFF" w:themeFill="text2" w:themeFillTint="33"/>
          </w:tcPr>
          <w:p w14:paraId="2EA05E3F" w14:textId="77777777" w:rsidR="00AC591F" w:rsidRPr="005945E7" w:rsidRDefault="00AC591F" w:rsidP="00CF5F45">
            <w:pPr>
              <w:jc w:val="center"/>
              <w:rPr>
                <w:rFonts w:cs="Arial"/>
                <w:b/>
                <w:bCs/>
              </w:rPr>
            </w:pPr>
            <w:r>
              <w:rPr>
                <w:rFonts w:cs="Arial"/>
                <w:b/>
                <w:bCs/>
              </w:rPr>
              <w:t>Completion Date</w:t>
            </w:r>
          </w:p>
        </w:tc>
      </w:tr>
      <w:tr w:rsidR="00AC591F" w14:paraId="7DCB2D72" w14:textId="77777777" w:rsidTr="00CF5F45">
        <w:tc>
          <w:tcPr>
            <w:tcW w:w="3401" w:type="dxa"/>
          </w:tcPr>
          <w:p w14:paraId="35C315A6" w14:textId="77777777" w:rsidR="00AC591F" w:rsidRDefault="0099579C" w:rsidP="00CF5F45">
            <w:r>
              <w:t>3A: Board members, system leaders (Band 9 and VSM) and those with line management responsibilities routinely demonstrate their understanding of, and commitment to, equality and health inequalities</w:t>
            </w:r>
          </w:p>
          <w:p w14:paraId="22248E06" w14:textId="77777777" w:rsidR="0099579C" w:rsidRDefault="0099579C" w:rsidP="00CF5F45">
            <w:pPr>
              <w:rPr>
                <w:rFonts w:cs="Arial"/>
              </w:rPr>
            </w:pPr>
          </w:p>
          <w:p w14:paraId="2FEDB8CF" w14:textId="77777777" w:rsidR="0099579C" w:rsidRDefault="00C4201F" w:rsidP="00CF5F45">
            <w:r>
              <w:t xml:space="preserve">3B: Board/Committee papers (including minutes) identify equality and health inequalities related impacts and risks and </w:t>
            </w:r>
            <w:r>
              <w:lastRenderedPageBreak/>
              <w:t>how they will be mitigated and managed</w:t>
            </w:r>
          </w:p>
          <w:p w14:paraId="1AE83A0C" w14:textId="77777777" w:rsidR="00C4201F" w:rsidRDefault="00C4201F" w:rsidP="00CF5F45">
            <w:pPr>
              <w:rPr>
                <w:rFonts w:cs="Arial"/>
              </w:rPr>
            </w:pPr>
          </w:p>
          <w:p w14:paraId="3C2348D4" w14:textId="10DA8E87" w:rsidR="00C4201F" w:rsidRDefault="00C4201F" w:rsidP="00CF5F45">
            <w:pPr>
              <w:rPr>
                <w:rFonts w:cs="Arial"/>
              </w:rPr>
            </w:pPr>
            <w:r>
              <w:t>3C: Board members and system leaders (Band 9 and VSM) ensure levers are in place to manage performance and monitor progress with staff and patients</w:t>
            </w:r>
          </w:p>
        </w:tc>
        <w:tc>
          <w:tcPr>
            <w:tcW w:w="3401" w:type="dxa"/>
          </w:tcPr>
          <w:p w14:paraId="30ADC7C1" w14:textId="77777777" w:rsidR="00AC591F" w:rsidRDefault="00AC591F" w:rsidP="00CF5F45">
            <w:pPr>
              <w:rPr>
                <w:rFonts w:cs="Arial"/>
              </w:rPr>
            </w:pPr>
          </w:p>
        </w:tc>
        <w:tc>
          <w:tcPr>
            <w:tcW w:w="3402" w:type="dxa"/>
          </w:tcPr>
          <w:p w14:paraId="0FAEA182" w14:textId="77777777" w:rsidR="00542C6B" w:rsidRPr="00542C6B" w:rsidRDefault="00B75F16" w:rsidP="00B75F16">
            <w:pPr>
              <w:pStyle w:val="ListParagraph"/>
              <w:numPr>
                <w:ilvl w:val="0"/>
                <w:numId w:val="30"/>
              </w:numPr>
              <w:rPr>
                <w:rFonts w:cs="Arial"/>
              </w:rPr>
            </w:pPr>
            <w:r>
              <w:t xml:space="preserve">Board members </w:t>
            </w:r>
            <w:r w:rsidR="00542C6B">
              <w:t xml:space="preserve">to support staff networks through Exec sponsorship </w:t>
            </w:r>
          </w:p>
          <w:p w14:paraId="43E59742" w14:textId="77777777" w:rsidR="002B40C3" w:rsidRPr="002B40C3" w:rsidRDefault="00542C6B" w:rsidP="00B75F16">
            <w:pPr>
              <w:pStyle w:val="ListParagraph"/>
              <w:numPr>
                <w:ilvl w:val="0"/>
                <w:numId w:val="30"/>
              </w:numPr>
              <w:rPr>
                <w:rFonts w:cs="Arial"/>
              </w:rPr>
            </w:pPr>
            <w:r>
              <w:t xml:space="preserve">EDI Objectives added to Exec </w:t>
            </w:r>
            <w:r w:rsidR="002B40C3">
              <w:t>Appraisals.</w:t>
            </w:r>
          </w:p>
          <w:p w14:paraId="45F827A1" w14:textId="77777777" w:rsidR="00BB003D" w:rsidRPr="00BB003D" w:rsidRDefault="00DB7783" w:rsidP="00B75F16">
            <w:pPr>
              <w:pStyle w:val="ListParagraph"/>
              <w:numPr>
                <w:ilvl w:val="0"/>
                <w:numId w:val="30"/>
              </w:numPr>
              <w:rPr>
                <w:rFonts w:cs="Arial"/>
              </w:rPr>
            </w:pPr>
            <w:r>
              <w:t xml:space="preserve">Exec support </w:t>
            </w:r>
            <w:r w:rsidR="00BB003D">
              <w:t>at engagement sessions for Tackling Racism.</w:t>
            </w:r>
          </w:p>
          <w:p w14:paraId="559D283A" w14:textId="77777777" w:rsidR="00F65872" w:rsidRPr="00F65872" w:rsidRDefault="00B63BCD" w:rsidP="00F65872">
            <w:pPr>
              <w:pStyle w:val="ListParagraph"/>
              <w:numPr>
                <w:ilvl w:val="0"/>
                <w:numId w:val="30"/>
              </w:numPr>
              <w:rPr>
                <w:rFonts w:cs="Arial"/>
              </w:rPr>
            </w:pPr>
            <w:r>
              <w:t xml:space="preserve">Support for </w:t>
            </w:r>
            <w:r w:rsidR="00F65872">
              <w:t>launching</w:t>
            </w:r>
            <w:r w:rsidR="00DB7783">
              <w:t xml:space="preserve"> Tackling Racism Strategy Launch </w:t>
            </w:r>
            <w:r w:rsidR="00B75F16">
              <w:t xml:space="preserve"> </w:t>
            </w:r>
          </w:p>
          <w:p w14:paraId="00D4ED0D" w14:textId="77777777" w:rsidR="00AC591F" w:rsidRPr="00F65872" w:rsidRDefault="00B75F16" w:rsidP="00F65872">
            <w:pPr>
              <w:pStyle w:val="ListParagraph"/>
              <w:numPr>
                <w:ilvl w:val="0"/>
                <w:numId w:val="30"/>
              </w:numPr>
              <w:rPr>
                <w:rFonts w:cs="Arial"/>
              </w:rPr>
            </w:pPr>
            <w:r>
              <w:t xml:space="preserve">Board Members </w:t>
            </w:r>
            <w:r w:rsidR="00F65872">
              <w:t xml:space="preserve">to </w:t>
            </w:r>
            <w:r>
              <w:t xml:space="preserve"> attend and actively </w:t>
            </w:r>
            <w:r>
              <w:lastRenderedPageBreak/>
              <w:t xml:space="preserve">support events including Black History Month, South Asian Heritage Month, LGBTQ+ History Month and Disability History month. </w:t>
            </w:r>
          </w:p>
          <w:p w14:paraId="34EB04A1" w14:textId="192C056F" w:rsidR="00F65872" w:rsidRPr="00B75F16" w:rsidRDefault="00F65872" w:rsidP="00F65872">
            <w:pPr>
              <w:pStyle w:val="ListParagraph"/>
              <w:rPr>
                <w:rFonts w:cs="Arial"/>
              </w:rPr>
            </w:pPr>
          </w:p>
        </w:tc>
        <w:tc>
          <w:tcPr>
            <w:tcW w:w="3402" w:type="dxa"/>
          </w:tcPr>
          <w:p w14:paraId="371D657D" w14:textId="3F2E34B4" w:rsidR="00AC591F" w:rsidRDefault="00AC591F" w:rsidP="00CF5F45">
            <w:pPr>
              <w:rPr>
                <w:rFonts w:cs="Arial"/>
              </w:rPr>
            </w:pPr>
            <w:r>
              <w:rPr>
                <w:rFonts w:cs="Arial"/>
              </w:rPr>
              <w:lastRenderedPageBreak/>
              <w:t xml:space="preserve"> 30 March 202</w:t>
            </w:r>
            <w:r w:rsidR="00E343D6">
              <w:rPr>
                <w:rFonts w:cs="Arial"/>
              </w:rPr>
              <w:t>5</w:t>
            </w:r>
          </w:p>
        </w:tc>
      </w:tr>
    </w:tbl>
    <w:p w14:paraId="000D971F" w14:textId="77777777" w:rsidR="00AC591F" w:rsidRDefault="00AC591F" w:rsidP="0019651F">
      <w:pPr>
        <w:jc w:val="center"/>
        <w:rPr>
          <w:rFonts w:cs="Arial"/>
        </w:rPr>
      </w:pPr>
    </w:p>
    <w:sectPr w:rsidR="00AC591F" w:rsidSect="00FB510B">
      <w:pgSz w:w="16838" w:h="11906" w:orient="landscape" w:code="9"/>
      <w:pgMar w:top="1077" w:right="1985" w:bottom="1135" w:left="124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2733" w14:textId="77777777" w:rsidR="0069185A" w:rsidRDefault="0069185A" w:rsidP="00C62674">
      <w:r>
        <w:separator/>
      </w:r>
    </w:p>
  </w:endnote>
  <w:endnote w:type="continuationSeparator" w:id="0">
    <w:p w14:paraId="5E67722D" w14:textId="77777777" w:rsidR="0069185A" w:rsidRDefault="0069185A" w:rsidP="00C62674">
      <w:r>
        <w:continuationSeparator/>
      </w:r>
    </w:p>
  </w:endnote>
  <w:endnote w:type="continuationNotice" w:id="1">
    <w:p w14:paraId="6B158434" w14:textId="77777777" w:rsidR="0069185A" w:rsidRDefault="006918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E71" w14:textId="7403C2E9" w:rsidR="00254CE2" w:rsidRDefault="00254CE2">
    <w:pPr>
      <w:pStyle w:val="Footer"/>
    </w:pPr>
    <w:r>
      <w:rPr>
        <w:noProof/>
      </w:rPr>
      <mc:AlternateContent>
        <mc:Choice Requires="wps">
          <w:drawing>
            <wp:anchor distT="0" distB="0" distL="114300" distR="114300" simplePos="0" relativeHeight="251658240" behindDoc="1" locked="0" layoutInCell="1" allowOverlap="1" wp14:anchorId="1A040FA4" wp14:editId="28D8D135">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4B1B36" id="Straight Connector 4" o:spid="_x0000_s1026"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fldChar w:fldCharType="begin"/>
    </w:r>
    <w:r>
      <w:instrText xml:space="preserve"> page </w:instrText>
    </w:r>
    <w:r>
      <w:fldChar w:fldCharType="separate"/>
    </w:r>
    <w:r>
      <w:rPr>
        <w:noProof/>
      </w:rPr>
      <w:t>1</w:t>
    </w:r>
    <w:r>
      <w:fldChar w:fldCharType="end"/>
    </w:r>
    <w:r w:rsidR="009945D8">
      <w:t xml:space="preserve"> </w:t>
    </w:r>
    <w:r w:rsidRPr="00CF3E44">
      <w:rPr>
        <w:rStyle w:val="FooterPipe"/>
      </w:rPr>
      <w:t>|</w:t>
    </w:r>
    <w:r w:rsidR="009945D8">
      <w:t xml:space="preserve"> </w:t>
    </w:r>
    <w:fldSimple w:instr=" styleref Title ">
      <w:r w:rsidR="001B7CA2">
        <w:rPr>
          <w:noProof/>
        </w:rPr>
        <w:t>EDS Reporting Template</w:t>
      </w:r>
    </w:fldSimple>
    <w:r w:rsidR="00E868F9">
      <w:rPr>
        <w:noProof/>
      </w:rP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FC93F" w14:textId="77777777" w:rsidR="0069185A" w:rsidRDefault="0069185A" w:rsidP="00C62674">
      <w:r>
        <w:separator/>
      </w:r>
    </w:p>
  </w:footnote>
  <w:footnote w:type="continuationSeparator" w:id="0">
    <w:p w14:paraId="2BBC6B8B" w14:textId="77777777" w:rsidR="0069185A" w:rsidRDefault="0069185A" w:rsidP="00C62674">
      <w:r>
        <w:continuationSeparator/>
      </w:r>
    </w:p>
  </w:footnote>
  <w:footnote w:type="continuationNotice" w:id="1">
    <w:p w14:paraId="3A0DF0F6" w14:textId="77777777" w:rsidR="0069185A" w:rsidRDefault="006918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B59A7" w14:textId="1E1233BC" w:rsidR="00254CE2" w:rsidRDefault="00286221">
    <w:pPr>
      <w:pStyle w:val="Header"/>
    </w:pPr>
    <w:r>
      <w:rPr>
        <w:noProof/>
      </w:rPr>
      <w:drawing>
        <wp:anchor distT="0" distB="0" distL="114300" distR="114300" simplePos="0" relativeHeight="251660288" behindDoc="1" locked="0" layoutInCell="1" allowOverlap="1" wp14:anchorId="3B57826C" wp14:editId="3C72D8BE">
          <wp:simplePos x="0" y="0"/>
          <wp:positionH relativeFrom="page">
            <wp:posOffset>6034405</wp:posOffset>
          </wp:positionH>
          <wp:positionV relativeFrom="page">
            <wp:posOffset>428625</wp:posOffset>
          </wp:positionV>
          <wp:extent cx="1098000" cy="828000"/>
          <wp:effectExtent l="0" t="0" r="6985" b="0"/>
          <wp:wrapNone/>
          <wp:docPr id="18" name="Picture 1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C32AF"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017FC4"/>
    <w:multiLevelType w:val="hybridMultilevel"/>
    <w:tmpl w:val="D0806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94C4C04"/>
    <w:multiLevelType w:val="hybridMultilevel"/>
    <w:tmpl w:val="D054A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525D86"/>
    <w:multiLevelType w:val="hybridMultilevel"/>
    <w:tmpl w:val="5E64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AC6965"/>
    <w:multiLevelType w:val="hybridMultilevel"/>
    <w:tmpl w:val="1444C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0E4B38"/>
    <w:multiLevelType w:val="multilevel"/>
    <w:tmpl w:val="65E4417A"/>
    <w:numStyleLink w:val="NHSListNumbers"/>
  </w:abstractNum>
  <w:abstractNum w:abstractNumId="19" w15:restartNumberingAfterBreak="0">
    <w:nsid w:val="4E5A0AB4"/>
    <w:multiLevelType w:val="hybridMultilevel"/>
    <w:tmpl w:val="AA3C3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387E21"/>
    <w:multiLevelType w:val="hybridMultilevel"/>
    <w:tmpl w:val="3ACE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330094"/>
    <w:multiLevelType w:val="hybridMultilevel"/>
    <w:tmpl w:val="9B860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3452FF"/>
    <w:multiLevelType w:val="hybridMultilevel"/>
    <w:tmpl w:val="42529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BD333F"/>
    <w:multiLevelType w:val="hybridMultilevel"/>
    <w:tmpl w:val="7702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FE5A32"/>
    <w:multiLevelType w:val="hybridMultilevel"/>
    <w:tmpl w:val="DC705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C3133F9"/>
    <w:multiLevelType w:val="hybridMultilevel"/>
    <w:tmpl w:val="2A4881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C9A64B3"/>
    <w:multiLevelType w:val="hybridMultilevel"/>
    <w:tmpl w:val="CCA2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5694840">
    <w:abstractNumId w:val="8"/>
  </w:num>
  <w:num w:numId="2" w16cid:durableId="1009675698">
    <w:abstractNumId w:val="7"/>
  </w:num>
  <w:num w:numId="3" w16cid:durableId="698706804">
    <w:abstractNumId w:val="6"/>
  </w:num>
  <w:num w:numId="4" w16cid:durableId="1733700707">
    <w:abstractNumId w:val="5"/>
  </w:num>
  <w:num w:numId="5" w16cid:durableId="1427653887">
    <w:abstractNumId w:val="4"/>
  </w:num>
  <w:num w:numId="6" w16cid:durableId="1021008256">
    <w:abstractNumId w:val="18"/>
  </w:num>
  <w:num w:numId="7" w16cid:durableId="488904025">
    <w:abstractNumId w:val="3"/>
  </w:num>
  <w:num w:numId="8" w16cid:durableId="1532568846">
    <w:abstractNumId w:val="2"/>
  </w:num>
  <w:num w:numId="9" w16cid:durableId="1992713488">
    <w:abstractNumId w:val="1"/>
  </w:num>
  <w:num w:numId="10" w16cid:durableId="498885058">
    <w:abstractNumId w:val="0"/>
  </w:num>
  <w:num w:numId="11" w16cid:durableId="1648390495">
    <w:abstractNumId w:val="13"/>
  </w:num>
  <w:num w:numId="12" w16cid:durableId="75175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3568855">
    <w:abstractNumId w:val="14"/>
  </w:num>
  <w:num w:numId="14" w16cid:durableId="17701973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47059">
    <w:abstractNumId w:val="15"/>
  </w:num>
  <w:num w:numId="16" w16cid:durableId="1718702138">
    <w:abstractNumId w:val="12"/>
  </w:num>
  <w:num w:numId="17" w16cid:durableId="1420642854">
    <w:abstractNumId w:val="9"/>
  </w:num>
  <w:num w:numId="18" w16cid:durableId="1037580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258308">
    <w:abstractNumId w:val="25"/>
  </w:num>
  <w:num w:numId="20" w16cid:durableId="1163543103">
    <w:abstractNumId w:val="22"/>
  </w:num>
  <w:num w:numId="21" w16cid:durableId="1098991219">
    <w:abstractNumId w:val="21"/>
  </w:num>
  <w:num w:numId="22" w16cid:durableId="600799826">
    <w:abstractNumId w:val="24"/>
  </w:num>
  <w:num w:numId="23" w16cid:durableId="82842059">
    <w:abstractNumId w:val="20"/>
  </w:num>
  <w:num w:numId="24" w16cid:durableId="616762481">
    <w:abstractNumId w:val="26"/>
  </w:num>
  <w:num w:numId="25" w16cid:durableId="2061052513">
    <w:abstractNumId w:val="11"/>
  </w:num>
  <w:num w:numId="26" w16cid:durableId="1957524595">
    <w:abstractNumId w:val="16"/>
  </w:num>
  <w:num w:numId="27" w16cid:durableId="882402713">
    <w:abstractNumId w:val="23"/>
  </w:num>
  <w:num w:numId="28" w16cid:durableId="1920168772">
    <w:abstractNumId w:val="19"/>
  </w:num>
  <w:num w:numId="29" w16cid:durableId="1612125695">
    <w:abstractNumId w:val="10"/>
  </w:num>
  <w:num w:numId="30" w16cid:durableId="124047868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FF7"/>
    <w:rsid w:val="0000203B"/>
    <w:rsid w:val="00011629"/>
    <w:rsid w:val="000139EF"/>
    <w:rsid w:val="0002771E"/>
    <w:rsid w:val="00054FC4"/>
    <w:rsid w:val="000552A9"/>
    <w:rsid w:val="000771ED"/>
    <w:rsid w:val="00080805"/>
    <w:rsid w:val="00087FD8"/>
    <w:rsid w:val="000B1361"/>
    <w:rsid w:val="000B308A"/>
    <w:rsid w:val="000C24CA"/>
    <w:rsid w:val="000D3779"/>
    <w:rsid w:val="000D6255"/>
    <w:rsid w:val="000E1FF7"/>
    <w:rsid w:val="000F0D5C"/>
    <w:rsid w:val="00106B6E"/>
    <w:rsid w:val="0011344A"/>
    <w:rsid w:val="00113933"/>
    <w:rsid w:val="00117E70"/>
    <w:rsid w:val="001241F4"/>
    <w:rsid w:val="001248A8"/>
    <w:rsid w:val="001364A4"/>
    <w:rsid w:val="0014017A"/>
    <w:rsid w:val="0015740A"/>
    <w:rsid w:val="0016281C"/>
    <w:rsid w:val="001659B6"/>
    <w:rsid w:val="001731D8"/>
    <w:rsid w:val="001739F9"/>
    <w:rsid w:val="001850E7"/>
    <w:rsid w:val="0019651F"/>
    <w:rsid w:val="00196F50"/>
    <w:rsid w:val="001A3D7E"/>
    <w:rsid w:val="001B2528"/>
    <w:rsid w:val="001B7CA2"/>
    <w:rsid w:val="001C78E3"/>
    <w:rsid w:val="001F3DE1"/>
    <w:rsid w:val="00203C5A"/>
    <w:rsid w:val="0021516C"/>
    <w:rsid w:val="00224B11"/>
    <w:rsid w:val="00231F5E"/>
    <w:rsid w:val="00244BB6"/>
    <w:rsid w:val="0024528B"/>
    <w:rsid w:val="00246FF7"/>
    <w:rsid w:val="00254CE2"/>
    <w:rsid w:val="002607DB"/>
    <w:rsid w:val="0027399B"/>
    <w:rsid w:val="00274B1F"/>
    <w:rsid w:val="00281427"/>
    <w:rsid w:val="002856DE"/>
    <w:rsid w:val="00286221"/>
    <w:rsid w:val="002A7AA2"/>
    <w:rsid w:val="002B40C3"/>
    <w:rsid w:val="002C5209"/>
    <w:rsid w:val="002C5399"/>
    <w:rsid w:val="002D0893"/>
    <w:rsid w:val="002D6BF8"/>
    <w:rsid w:val="002F4D47"/>
    <w:rsid w:val="00305CD8"/>
    <w:rsid w:val="0030692D"/>
    <w:rsid w:val="003070B0"/>
    <w:rsid w:val="00312E89"/>
    <w:rsid w:val="0032702A"/>
    <w:rsid w:val="003506FF"/>
    <w:rsid w:val="00360CD8"/>
    <w:rsid w:val="00364F39"/>
    <w:rsid w:val="003674C7"/>
    <w:rsid w:val="003706A8"/>
    <w:rsid w:val="0037375B"/>
    <w:rsid w:val="00376093"/>
    <w:rsid w:val="00394044"/>
    <w:rsid w:val="003B6559"/>
    <w:rsid w:val="003B6D54"/>
    <w:rsid w:val="003B7553"/>
    <w:rsid w:val="003C56CE"/>
    <w:rsid w:val="003E1DF4"/>
    <w:rsid w:val="003F27FD"/>
    <w:rsid w:val="00431145"/>
    <w:rsid w:val="00437627"/>
    <w:rsid w:val="00452BCA"/>
    <w:rsid w:val="004D30D3"/>
    <w:rsid w:val="004D7873"/>
    <w:rsid w:val="004E2D9E"/>
    <w:rsid w:val="004F6335"/>
    <w:rsid w:val="00510CDF"/>
    <w:rsid w:val="00516192"/>
    <w:rsid w:val="00523DE4"/>
    <w:rsid w:val="00524EDA"/>
    <w:rsid w:val="00534D4A"/>
    <w:rsid w:val="00542C6B"/>
    <w:rsid w:val="0055406D"/>
    <w:rsid w:val="005662C6"/>
    <w:rsid w:val="00570BC3"/>
    <w:rsid w:val="005739D0"/>
    <w:rsid w:val="005806C1"/>
    <w:rsid w:val="005945E7"/>
    <w:rsid w:val="005D6E20"/>
    <w:rsid w:val="005E4CF5"/>
    <w:rsid w:val="005F29C3"/>
    <w:rsid w:val="005F4852"/>
    <w:rsid w:val="00606503"/>
    <w:rsid w:val="0061299F"/>
    <w:rsid w:val="0062038A"/>
    <w:rsid w:val="00630977"/>
    <w:rsid w:val="0064190E"/>
    <w:rsid w:val="006427E9"/>
    <w:rsid w:val="0064622F"/>
    <w:rsid w:val="006506AE"/>
    <w:rsid w:val="00666138"/>
    <w:rsid w:val="00667CF9"/>
    <w:rsid w:val="0067106B"/>
    <w:rsid w:val="006721A6"/>
    <w:rsid w:val="0067577A"/>
    <w:rsid w:val="006837AB"/>
    <w:rsid w:val="0069185A"/>
    <w:rsid w:val="006B2129"/>
    <w:rsid w:val="006B3373"/>
    <w:rsid w:val="006D4369"/>
    <w:rsid w:val="006D5947"/>
    <w:rsid w:val="00702CA1"/>
    <w:rsid w:val="0073344F"/>
    <w:rsid w:val="00747FE5"/>
    <w:rsid w:val="007542A0"/>
    <w:rsid w:val="00756931"/>
    <w:rsid w:val="007603ED"/>
    <w:rsid w:val="00766A42"/>
    <w:rsid w:val="007808F8"/>
    <w:rsid w:val="007923A1"/>
    <w:rsid w:val="00797721"/>
    <w:rsid w:val="007A2DE0"/>
    <w:rsid w:val="007C57D8"/>
    <w:rsid w:val="007D01C0"/>
    <w:rsid w:val="007E047C"/>
    <w:rsid w:val="007E60BE"/>
    <w:rsid w:val="007F2E69"/>
    <w:rsid w:val="007F6E18"/>
    <w:rsid w:val="00802E21"/>
    <w:rsid w:val="00831618"/>
    <w:rsid w:val="00833395"/>
    <w:rsid w:val="00837FAC"/>
    <w:rsid w:val="008434E4"/>
    <w:rsid w:val="00851B29"/>
    <w:rsid w:val="008556B8"/>
    <w:rsid w:val="00860055"/>
    <w:rsid w:val="00862C91"/>
    <w:rsid w:val="00871278"/>
    <w:rsid w:val="0087548A"/>
    <w:rsid w:val="00876072"/>
    <w:rsid w:val="008842BC"/>
    <w:rsid w:val="00885268"/>
    <w:rsid w:val="008B0721"/>
    <w:rsid w:val="008C2BEE"/>
    <w:rsid w:val="008C4997"/>
    <w:rsid w:val="008E6AE9"/>
    <w:rsid w:val="008F7BC3"/>
    <w:rsid w:val="00900DEC"/>
    <w:rsid w:val="00906DCD"/>
    <w:rsid w:val="00911A08"/>
    <w:rsid w:val="0091457A"/>
    <w:rsid w:val="00914A1E"/>
    <w:rsid w:val="00915BC0"/>
    <w:rsid w:val="00924FC4"/>
    <w:rsid w:val="00944199"/>
    <w:rsid w:val="00947295"/>
    <w:rsid w:val="00947724"/>
    <w:rsid w:val="009539AC"/>
    <w:rsid w:val="00954125"/>
    <w:rsid w:val="009555C2"/>
    <w:rsid w:val="009610A1"/>
    <w:rsid w:val="00975BC1"/>
    <w:rsid w:val="00981245"/>
    <w:rsid w:val="00991A82"/>
    <w:rsid w:val="009945D8"/>
    <w:rsid w:val="00994709"/>
    <w:rsid w:val="00994D45"/>
    <w:rsid w:val="0099579C"/>
    <w:rsid w:val="009A120A"/>
    <w:rsid w:val="009A1A5D"/>
    <w:rsid w:val="009B7C41"/>
    <w:rsid w:val="009C2451"/>
    <w:rsid w:val="009C2CD0"/>
    <w:rsid w:val="009C5580"/>
    <w:rsid w:val="009D1277"/>
    <w:rsid w:val="009D1CC6"/>
    <w:rsid w:val="009D6E1D"/>
    <w:rsid w:val="009E142E"/>
    <w:rsid w:val="009F4304"/>
    <w:rsid w:val="00A062A3"/>
    <w:rsid w:val="00A13EEA"/>
    <w:rsid w:val="00A31A7A"/>
    <w:rsid w:val="00A47A07"/>
    <w:rsid w:val="00A5665F"/>
    <w:rsid w:val="00A6791B"/>
    <w:rsid w:val="00A704B3"/>
    <w:rsid w:val="00A87C2B"/>
    <w:rsid w:val="00AA040A"/>
    <w:rsid w:val="00AB1EEE"/>
    <w:rsid w:val="00AB508B"/>
    <w:rsid w:val="00AC591F"/>
    <w:rsid w:val="00AD18B5"/>
    <w:rsid w:val="00AE17C7"/>
    <w:rsid w:val="00AF0208"/>
    <w:rsid w:val="00AF1E21"/>
    <w:rsid w:val="00B045E4"/>
    <w:rsid w:val="00B0463F"/>
    <w:rsid w:val="00B145A4"/>
    <w:rsid w:val="00B378E1"/>
    <w:rsid w:val="00B442E5"/>
    <w:rsid w:val="00B559AB"/>
    <w:rsid w:val="00B63BCD"/>
    <w:rsid w:val="00B75F16"/>
    <w:rsid w:val="00B856E9"/>
    <w:rsid w:val="00BB003D"/>
    <w:rsid w:val="00BB480F"/>
    <w:rsid w:val="00BD795A"/>
    <w:rsid w:val="00BE7AED"/>
    <w:rsid w:val="00BE7DAA"/>
    <w:rsid w:val="00BF2655"/>
    <w:rsid w:val="00C000B6"/>
    <w:rsid w:val="00C2425F"/>
    <w:rsid w:val="00C4201F"/>
    <w:rsid w:val="00C4790F"/>
    <w:rsid w:val="00C52223"/>
    <w:rsid w:val="00C62674"/>
    <w:rsid w:val="00C63AC1"/>
    <w:rsid w:val="00C66C19"/>
    <w:rsid w:val="00C674F3"/>
    <w:rsid w:val="00C71AE6"/>
    <w:rsid w:val="00C74918"/>
    <w:rsid w:val="00C77059"/>
    <w:rsid w:val="00C77EF5"/>
    <w:rsid w:val="00C93306"/>
    <w:rsid w:val="00C936D7"/>
    <w:rsid w:val="00C93CAA"/>
    <w:rsid w:val="00C94874"/>
    <w:rsid w:val="00CB207C"/>
    <w:rsid w:val="00CB273B"/>
    <w:rsid w:val="00CB2C51"/>
    <w:rsid w:val="00CB4716"/>
    <w:rsid w:val="00CB6695"/>
    <w:rsid w:val="00CC1798"/>
    <w:rsid w:val="00CC2151"/>
    <w:rsid w:val="00CD04AA"/>
    <w:rsid w:val="00CD3773"/>
    <w:rsid w:val="00CD55D6"/>
    <w:rsid w:val="00CE0FD5"/>
    <w:rsid w:val="00CF3E44"/>
    <w:rsid w:val="00D05380"/>
    <w:rsid w:val="00D1498B"/>
    <w:rsid w:val="00D21E66"/>
    <w:rsid w:val="00D3105B"/>
    <w:rsid w:val="00D37523"/>
    <w:rsid w:val="00D47FC7"/>
    <w:rsid w:val="00D9373B"/>
    <w:rsid w:val="00DB1EC8"/>
    <w:rsid w:val="00DB6AF8"/>
    <w:rsid w:val="00DB7783"/>
    <w:rsid w:val="00DC1E9F"/>
    <w:rsid w:val="00DD0DDC"/>
    <w:rsid w:val="00DE33E9"/>
    <w:rsid w:val="00E01307"/>
    <w:rsid w:val="00E15727"/>
    <w:rsid w:val="00E22DA9"/>
    <w:rsid w:val="00E33027"/>
    <w:rsid w:val="00E343D6"/>
    <w:rsid w:val="00E429E5"/>
    <w:rsid w:val="00E5600B"/>
    <w:rsid w:val="00E651A3"/>
    <w:rsid w:val="00E675CC"/>
    <w:rsid w:val="00E8330D"/>
    <w:rsid w:val="00E868F9"/>
    <w:rsid w:val="00E971B0"/>
    <w:rsid w:val="00EA2B5C"/>
    <w:rsid w:val="00EA4469"/>
    <w:rsid w:val="00EB5156"/>
    <w:rsid w:val="00EC2E55"/>
    <w:rsid w:val="00F00882"/>
    <w:rsid w:val="00F03D69"/>
    <w:rsid w:val="00F12E22"/>
    <w:rsid w:val="00F12F22"/>
    <w:rsid w:val="00F22601"/>
    <w:rsid w:val="00F2627E"/>
    <w:rsid w:val="00F35673"/>
    <w:rsid w:val="00F478DD"/>
    <w:rsid w:val="00F502DF"/>
    <w:rsid w:val="00F533D5"/>
    <w:rsid w:val="00F65872"/>
    <w:rsid w:val="00F86A73"/>
    <w:rsid w:val="00F939C7"/>
    <w:rsid w:val="00FB510B"/>
    <w:rsid w:val="00FC6811"/>
    <w:rsid w:val="00FD4951"/>
    <w:rsid w:val="00FF18CF"/>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F5077"/>
  <w15:chartTrackingRefBased/>
  <w15:docId w15:val="{6C2E943A-3F13-42B8-A26F-D18E325F8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qFormat="1"/>
    <w:lsdException w:name="List Number 3" w:uiPriority="14" w:qFormat="1"/>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qFormat="1"/>
    <w:lsdException w:name="List Continue 2" w:uiPriority="14" w:qFormat="1"/>
    <w:lsdException w:name="List Continue 3" w:uiPriority="14" w:qFormat="1"/>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702CA1"/>
    <w:pPr>
      <w:keepNext/>
      <w:keepLines/>
      <w:spacing w:before="300"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2CA1"/>
    <w:rPr>
      <w:rFonts w:eastAsiaTheme="majorEastAsia" w:cstheme="majorBidi"/>
      <w:color w:val="005EB8"/>
      <w:sz w:val="72"/>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qFormat/>
    <w:rsid w:val="00C93CAA"/>
    <w:pPr>
      <w:spacing w:after="50"/>
      <w:ind w:left="851"/>
    </w:pPr>
  </w:style>
  <w:style w:type="paragraph" w:styleId="ListContinue2">
    <w:name w:val="List Continue 2"/>
    <w:basedOn w:val="BodyText"/>
    <w:uiPriority w:val="16"/>
    <w:qFormat/>
    <w:rsid w:val="00C93CAA"/>
    <w:pPr>
      <w:spacing w:after="50"/>
      <w:ind w:left="1134"/>
    </w:pPr>
  </w:style>
  <w:style w:type="paragraph" w:styleId="ListContinue3">
    <w:name w:val="List Continue 3"/>
    <w:basedOn w:val="BodyText"/>
    <w:uiPriority w:val="16"/>
    <w:qFormat/>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qFormat/>
    <w:rsid w:val="0030692D"/>
    <w:pPr>
      <w:numPr>
        <w:numId w:val="12"/>
      </w:numPr>
      <w:spacing w:after="50"/>
    </w:pPr>
  </w:style>
  <w:style w:type="paragraph" w:styleId="ListNumber2">
    <w:name w:val="List Number 2"/>
    <w:basedOn w:val="BodyText"/>
    <w:uiPriority w:val="16"/>
    <w:qFormat/>
    <w:rsid w:val="0030692D"/>
    <w:pPr>
      <w:numPr>
        <w:ilvl w:val="1"/>
        <w:numId w:val="12"/>
      </w:numPr>
      <w:spacing w:after="50"/>
    </w:pPr>
  </w:style>
  <w:style w:type="paragraph" w:styleId="ListNumber3">
    <w:name w:val="List Number 3"/>
    <w:basedOn w:val="BodyText"/>
    <w:uiPriority w:val="16"/>
    <w:qFormat/>
    <w:rsid w:val="0030692D"/>
    <w:pPr>
      <w:numPr>
        <w:ilvl w:val="2"/>
        <w:numId w:val="12"/>
      </w:numPr>
      <w:spacing w:after="50"/>
    </w:pPr>
  </w:style>
  <w:style w:type="paragraph" w:styleId="ListNumber4">
    <w:name w:val="List Number 4"/>
    <w:basedOn w:val="BodyText"/>
    <w:uiPriority w:val="99"/>
    <w:semiHidden/>
    <w:rsid w:val="0030692D"/>
    <w:pPr>
      <w:numPr>
        <w:ilvl w:val="3"/>
        <w:numId w:val="12"/>
      </w:numPr>
      <w:contextualSpacing/>
    </w:pPr>
  </w:style>
  <w:style w:type="paragraph" w:styleId="ListNumber5">
    <w:name w:val="List Number 5"/>
    <w:basedOn w:val="BodyText"/>
    <w:uiPriority w:val="99"/>
    <w:semiHidden/>
    <w:rsid w:val="0030692D"/>
    <w:pPr>
      <w:numPr>
        <w:ilvl w:val="4"/>
        <w:numId w:val="12"/>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qFormat/>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qFormat/>
    <w:rsid w:val="00CB207C"/>
    <w:rPr>
      <w:color w:val="41B6E6"/>
    </w:rPr>
  </w:style>
  <w:style w:type="paragraph" w:customStyle="1" w:styleId="IntroText">
    <w:name w:val="Intro Text"/>
    <w:basedOn w:val="BodyText"/>
    <w:next w:val="BodyText"/>
    <w:qForma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CommentReference">
    <w:name w:val="annotation reference"/>
    <w:basedOn w:val="DefaultParagraphFont"/>
    <w:uiPriority w:val="99"/>
    <w:semiHidden/>
    <w:unhideWhenUsed/>
    <w:rsid w:val="00B0463F"/>
    <w:rPr>
      <w:sz w:val="16"/>
      <w:szCs w:val="16"/>
    </w:rPr>
  </w:style>
  <w:style w:type="paragraph" w:styleId="CommentText">
    <w:name w:val="annotation text"/>
    <w:basedOn w:val="Normal"/>
    <w:link w:val="CommentTextChar"/>
    <w:uiPriority w:val="99"/>
    <w:semiHidden/>
    <w:unhideWhenUsed/>
    <w:rsid w:val="00B0463F"/>
    <w:rPr>
      <w:sz w:val="20"/>
      <w:szCs w:val="20"/>
    </w:rPr>
  </w:style>
  <w:style w:type="character" w:customStyle="1" w:styleId="CommentTextChar">
    <w:name w:val="Comment Text Char"/>
    <w:basedOn w:val="DefaultParagraphFont"/>
    <w:link w:val="CommentText"/>
    <w:uiPriority w:val="99"/>
    <w:semiHidden/>
    <w:rsid w:val="00B0463F"/>
    <w:rPr>
      <w:sz w:val="20"/>
      <w:szCs w:val="20"/>
    </w:rPr>
  </w:style>
  <w:style w:type="paragraph" w:styleId="CommentSubject">
    <w:name w:val="annotation subject"/>
    <w:basedOn w:val="CommentText"/>
    <w:next w:val="CommentText"/>
    <w:link w:val="CommentSubjectChar"/>
    <w:uiPriority w:val="99"/>
    <w:semiHidden/>
    <w:unhideWhenUsed/>
    <w:rsid w:val="00B0463F"/>
    <w:rPr>
      <w:b/>
      <w:bCs/>
    </w:rPr>
  </w:style>
  <w:style w:type="character" w:customStyle="1" w:styleId="CommentSubjectChar">
    <w:name w:val="Comment Subject Char"/>
    <w:basedOn w:val="CommentTextChar"/>
    <w:link w:val="CommentSubject"/>
    <w:uiPriority w:val="99"/>
    <w:semiHidden/>
    <w:rsid w:val="00B0463F"/>
    <w:rPr>
      <w:b/>
      <w:bCs/>
      <w:sz w:val="20"/>
      <w:szCs w:val="20"/>
    </w:rPr>
  </w:style>
  <w:style w:type="character" w:styleId="UnresolvedMention">
    <w:name w:val="Unresolved Mention"/>
    <w:basedOn w:val="DefaultParagraphFont"/>
    <w:uiPriority w:val="99"/>
    <w:semiHidden/>
    <w:unhideWhenUsed/>
    <w:rsid w:val="003E1D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cnorthamptonshir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gland.eandhi@nhs.ne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gland.nhs.uk/about/equality/equality-hub/patient-equalities-programme/equality-frameworks-and-information-standards/e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EBBD3197144BD8A9B2BFE9BCED6D61"/>
        <w:category>
          <w:name w:val="General"/>
          <w:gallery w:val="placeholder"/>
        </w:category>
        <w:types>
          <w:type w:val="bbPlcHdr"/>
        </w:types>
        <w:behaviors>
          <w:behavior w:val="content"/>
        </w:behaviors>
        <w:guid w:val="{6D2F022B-4EDB-4F5D-AB61-A75EB76335CD}"/>
      </w:docPartPr>
      <w:docPartBody>
        <w:p w:rsidR="00DE0F4B" w:rsidRDefault="006E268E" w:rsidP="006E268E">
          <w:pPr>
            <w:pStyle w:val="0FEBBD3197144BD8A9B2BFE9BCED6D61"/>
          </w:pPr>
          <w:r>
            <w:rPr>
              <w:rStyle w:val="PlaceholderText"/>
            </w:rPr>
            <w:t>Select protective marking</w:t>
          </w:r>
        </w:p>
      </w:docPartBody>
    </w:docPart>
    <w:docPart>
      <w:docPartPr>
        <w:name w:val="D9462B11D0614DB28C23223F5CD21B3E"/>
        <w:category>
          <w:name w:val="General"/>
          <w:gallery w:val="placeholder"/>
        </w:category>
        <w:types>
          <w:type w:val="bbPlcHdr"/>
        </w:types>
        <w:behaviors>
          <w:behavior w:val="content"/>
        </w:behaviors>
        <w:guid w:val="{918025FB-7409-4076-9BE1-E676FCA735CB}"/>
      </w:docPartPr>
      <w:docPartBody>
        <w:p w:rsidR="00977804" w:rsidRDefault="00C432A5">
          <w:pPr>
            <w:pStyle w:val="D9462B11D0614DB28C23223F5CD21B3E"/>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68E"/>
    <w:rsid w:val="00512828"/>
    <w:rsid w:val="006E268E"/>
    <w:rsid w:val="007E7F9B"/>
    <w:rsid w:val="007F797F"/>
    <w:rsid w:val="00977804"/>
    <w:rsid w:val="00AB57B5"/>
    <w:rsid w:val="00C432A5"/>
    <w:rsid w:val="00C924C3"/>
    <w:rsid w:val="00D23E72"/>
    <w:rsid w:val="00DE0F4B"/>
    <w:rsid w:val="00E468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27C81C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68E"/>
    <w:rPr>
      <w:rFonts w:cs="Times New Roman"/>
      <w:sz w:val="3276"/>
      <w:szCs w:val="3276"/>
    </w:rPr>
  </w:style>
  <w:style w:type="paragraph" w:styleId="Heading2">
    <w:name w:val="heading 2"/>
    <w:basedOn w:val="Normal"/>
    <w:next w:val="BodyText"/>
    <w:link w:val="Heading2Char"/>
    <w:uiPriority w:val="9"/>
    <w:qFormat/>
    <w:rsid w:val="006E268E"/>
    <w:pPr>
      <w:keepNext/>
      <w:keepLines/>
      <w:spacing w:before="60" w:after="280" w:line="240" w:lineRule="auto"/>
      <w:outlineLvl w:val="1"/>
    </w:pPr>
    <w:rPr>
      <w:rFonts w:ascii="Arial" w:eastAsiaTheme="majorEastAsia" w:hAnsi="Arial" w:cstheme="majorBidi"/>
      <w:color w:val="005EB8"/>
      <w:sz w:val="3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268E"/>
    <w:rPr>
      <w:rFonts w:ascii="Arial" w:eastAsiaTheme="majorEastAsia" w:hAnsi="Arial" w:cstheme="majorBidi"/>
      <w:color w:val="005EB8"/>
      <w:sz w:val="36"/>
      <w:szCs w:val="26"/>
      <w:lang w:eastAsia="en-US"/>
    </w:rPr>
  </w:style>
  <w:style w:type="paragraph" w:styleId="BodyText">
    <w:name w:val="Body Text"/>
    <w:basedOn w:val="Normal"/>
    <w:link w:val="BodyTextChar"/>
    <w:qFormat/>
    <w:rsid w:val="006E268E"/>
    <w:pPr>
      <w:spacing w:after="280" w:line="360" w:lineRule="atLeast"/>
    </w:pPr>
    <w:rPr>
      <w:rFonts w:ascii="Arial" w:eastAsiaTheme="minorHAnsi" w:hAnsi="Arial" w:cstheme="minorBidi"/>
      <w:color w:val="231F20"/>
      <w:sz w:val="24"/>
      <w:szCs w:val="24"/>
      <w:lang w:eastAsia="en-US"/>
    </w:rPr>
  </w:style>
  <w:style w:type="character" w:customStyle="1" w:styleId="BodyTextChar">
    <w:name w:val="Body Text Char"/>
    <w:basedOn w:val="DefaultParagraphFont"/>
    <w:link w:val="BodyText"/>
    <w:rsid w:val="006E268E"/>
    <w:rPr>
      <w:rFonts w:ascii="Arial" w:eastAsiaTheme="minorHAnsi" w:hAnsi="Arial"/>
      <w:color w:val="231F20"/>
      <w:sz w:val="24"/>
      <w:szCs w:val="24"/>
      <w:lang w:eastAsia="en-US"/>
    </w:rPr>
  </w:style>
  <w:style w:type="table" w:customStyle="1" w:styleId="NHSHighlightBoxBlue">
    <w:name w:val="NHS Highlight Box Blue"/>
    <w:basedOn w:val="TableNormal"/>
    <w:uiPriority w:val="99"/>
    <w:rsid w:val="006E268E"/>
    <w:pPr>
      <w:spacing w:after="0" w:line="240" w:lineRule="auto"/>
    </w:pPr>
    <w:rPr>
      <w:rFonts w:ascii="Arial" w:eastAsiaTheme="minorHAnsi" w:hAnsi="Arial"/>
      <w:color w:val="231F20"/>
      <w:sz w:val="24"/>
      <w:szCs w:val="24"/>
      <w:lang w:eastAsia="en-US"/>
    </w:rPr>
    <w:tblPr>
      <w:tblCellMar>
        <w:top w:w="284" w:type="dxa"/>
        <w:left w:w="284" w:type="dxa"/>
        <w:bottom w:w="284" w:type="dxa"/>
        <w:right w:w="284" w:type="dxa"/>
      </w:tblCellMar>
    </w:tblPr>
    <w:tcPr>
      <w:shd w:val="clear" w:color="auto" w:fill="CCDFF1"/>
    </w:tcPr>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0FEBBD3197144BD8A9B2BFE9BCED6D61">
    <w:name w:val="0FEBBD3197144BD8A9B2BFE9BCED6D61"/>
    <w:rsid w:val="006E268E"/>
    <w:pPr>
      <w:spacing w:after="0" w:line="240" w:lineRule="auto"/>
    </w:pPr>
    <w:rPr>
      <w:rFonts w:ascii="Arial" w:eastAsiaTheme="minorHAnsi" w:hAnsi="Arial"/>
      <w:color w:val="231F20"/>
      <w:sz w:val="24"/>
      <w:szCs w:val="24"/>
      <w:lang w:eastAsia="en-US"/>
    </w:rPr>
  </w:style>
  <w:style w:type="paragraph" w:customStyle="1" w:styleId="D9462B11D0614DB28C23223F5CD21B3E">
    <w:name w:val="D9462B11D0614DB28C23223F5CD21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eview_x0020_Date xmlns="50600352-3b1e-4feb-814b-615c03f7c0d5" xsi:nil="true"/>
    <Number xmlns="50600352-3b1e-4feb-814b-615c03f7c0d5" xsi:nil="true"/>
    <_ip_UnifiedCompliancePolicyUIAction xmlns="http://schemas.microsoft.com/sharepoint/v3" xsi:nil="true"/>
    <_ip_UnifiedCompliancePolicyProperties xmlns="http://schemas.microsoft.com/sharepoint/v3" xsi:nil="true"/>
    <TaxCatchAll xmlns="cccaf3ac-2de9-44d4-aa31-54302fceb5f7" xsi:nil="true"/>
    <lcf76f155ced4ddcb4097134ff3c332f xmlns="50600352-3b1e-4feb-814b-615c03f7c0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85F7E665BEC04CA921820A18544771" ma:contentTypeVersion="26" ma:contentTypeDescription="Create a new document." ma:contentTypeScope="" ma:versionID="cb2adab23739c98ea88aa55ef8855465">
  <xsd:schema xmlns:xsd="http://www.w3.org/2001/XMLSchema" xmlns:xs="http://www.w3.org/2001/XMLSchema" xmlns:p="http://schemas.microsoft.com/office/2006/metadata/properties" xmlns:ns1="http://schemas.microsoft.com/sharepoint/v3" xmlns:ns2="51bfcd92-eb3e-40f4-8778-2bbfb88a890b" xmlns:ns3="50600352-3b1e-4feb-814b-615c03f7c0d5" xmlns:ns4="cccaf3ac-2de9-44d4-aa31-54302fceb5f7" targetNamespace="http://schemas.microsoft.com/office/2006/metadata/properties" ma:root="true" ma:fieldsID="b82da7afe37a97f57a3309e10f54a259" ns1:_="" ns2:_="" ns3:_="" ns4:_="">
    <xsd:import namespace="http://schemas.microsoft.com/sharepoint/v3"/>
    <xsd:import namespace="51bfcd92-eb3e-40f4-8778-2bbfb88a890b"/>
    <xsd:import namespace="50600352-3b1e-4feb-814b-615c03f7c0d5"/>
    <xsd:import namespace="cccaf3ac-2de9-44d4-aa31-54302fceb5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Review_x0020_Dat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Number" minOccurs="0"/>
                <xsd:element ref="ns1:_ip_UnifiedCompliancePolicyProperties" minOccurs="0"/>
                <xsd:element ref="ns1:_ip_UnifiedCompliancePolicyUIAc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00352-3b1e-4feb-814b-615c03f7c0d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Number" ma:index="22" nillable="true" ma:displayName="Number" ma:description="Organising by Number" ma:format="Dropdown" ma:internalName="Number" ma:percentage="FALSE">
      <xsd:simpleType>
        <xsd:restriction base="dms:Number"/>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8a2fca05-696b-49a0-95a3-3d24abb4c8cc}"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D3EE0724-4439-4C76-A3EA-2E27EBE696E7}">
  <ds:schemaRefs>
    <ds:schemaRef ds:uri="http://schemas.microsoft.com/office/2006/metadata/properties"/>
    <ds:schemaRef ds:uri="http://schemas.microsoft.com/office/infopath/2007/PartnerControls"/>
    <ds:schemaRef ds:uri="50600352-3b1e-4feb-814b-615c03f7c0d5"/>
    <ds:schemaRef ds:uri="http://schemas.microsoft.com/sharepoint/v3"/>
    <ds:schemaRef ds:uri="cccaf3ac-2de9-44d4-aa31-54302fceb5f7"/>
  </ds:schemaRefs>
</ds:datastoreItem>
</file>

<file path=customXml/itemProps3.xml><?xml version="1.0" encoding="utf-8"?>
<ds:datastoreItem xmlns:ds="http://schemas.openxmlformats.org/officeDocument/2006/customXml" ds:itemID="{2CDF68F9-A0E5-4C9A-ADA1-AB5EFB4587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bfcd92-eb3e-40f4-8778-2bbfb88a890b"/>
    <ds:schemaRef ds:uri="50600352-3b1e-4feb-814b-615c03f7c0d5"/>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13909F-9C55-4F30-B319-6D0C25F680AD}">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2593</Words>
  <Characters>14786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17345</CharactersWithSpaces>
  <SharedDoc>false</SharedDoc>
  <HLinks>
    <vt:vector size="18" baseType="variant">
      <vt:variant>
        <vt:i4>6684704</vt:i4>
      </vt:variant>
      <vt:variant>
        <vt:i4>9</vt:i4>
      </vt:variant>
      <vt:variant>
        <vt:i4>0</vt:i4>
      </vt:variant>
      <vt:variant>
        <vt:i4>5</vt:i4>
      </vt:variant>
      <vt:variant>
        <vt:lpwstr>http://www.england.nhs.uk/wp-content/uploads/2013/11/eds-nov131.pdf</vt:lpwstr>
      </vt:variant>
      <vt:variant>
        <vt:lpwstr/>
      </vt:variant>
      <vt:variant>
        <vt:i4>1245233</vt:i4>
      </vt:variant>
      <vt:variant>
        <vt:i4>2</vt:i4>
      </vt:variant>
      <vt:variant>
        <vt:i4>0</vt:i4>
      </vt:variant>
      <vt:variant>
        <vt:i4>5</vt:i4>
      </vt:variant>
      <vt:variant>
        <vt:lpwstr/>
      </vt:variant>
      <vt:variant>
        <vt:lpwstr>_Toc94529745</vt:lpwstr>
      </vt:variant>
      <vt:variant>
        <vt:i4>6619159</vt:i4>
      </vt:variant>
      <vt:variant>
        <vt:i4>0</vt:i4>
      </vt:variant>
      <vt:variant>
        <vt:i4>0</vt:i4>
      </vt:variant>
      <vt:variant>
        <vt:i4>5</vt:i4>
      </vt:variant>
      <vt:variant>
        <vt:lpwstr>mailto:england.eandhi@nhs.net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Paul Maytum</dc:creator>
  <cp:keywords/>
  <dc:description/>
  <cp:lastModifiedBy>KINSELLA, Sarah (NORTHAMPTON GENERAL HOSPITAL NHS TRUST)</cp:lastModifiedBy>
  <cp:revision>2</cp:revision>
  <dcterms:created xsi:type="dcterms:W3CDTF">2024-02-29T15:54:00Z</dcterms:created>
  <dcterms:modified xsi:type="dcterms:W3CDTF">2024-02-29T15:54:00Z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0x010100C085F7E665BEC04CA921820A18544771</vt:lpwstr>
  </property>
  <property fmtid="{D5CDD505-2E9C-101B-9397-08002B2CF9AE}" pid="3" name="MediaServiceImageTags">
    <vt:lpwstr/>
  </property>
</Properties>
</file>