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1A9" w:rsidRDefault="003251A9" w:rsidP="001F7F0A">
      <w:pPr>
        <w:rPr>
          <w:rFonts w:ascii="Arial" w:hAnsi="Arial" w:cs="Arial"/>
          <w:b/>
          <w:bCs/>
          <w:sz w:val="96"/>
          <w:szCs w:val="96"/>
        </w:rPr>
      </w:pPr>
    </w:p>
    <w:p w:rsidR="000D1AA5" w:rsidRDefault="000D1AA5" w:rsidP="001F7F0A">
      <w:pPr>
        <w:rPr>
          <w:rFonts w:ascii="Arial" w:hAnsi="Arial" w:cs="Arial"/>
          <w:b/>
          <w:bCs/>
          <w:sz w:val="96"/>
          <w:szCs w:val="96"/>
        </w:rPr>
      </w:pPr>
    </w:p>
    <w:p w:rsidR="003251A9" w:rsidRDefault="003251A9" w:rsidP="001F7F0A">
      <w:pPr>
        <w:rPr>
          <w:rFonts w:ascii="Arial" w:hAnsi="Arial" w:cs="Arial"/>
          <w:b/>
          <w:bCs/>
          <w:sz w:val="96"/>
          <w:szCs w:val="96"/>
        </w:rPr>
      </w:pPr>
      <w:bookmarkStart w:id="0" w:name="_GoBack"/>
      <w:bookmarkEnd w:id="0"/>
    </w:p>
    <w:p w:rsidR="003251A9" w:rsidRPr="003251A9" w:rsidRDefault="001F7F0A" w:rsidP="001F7F0A">
      <w:pPr>
        <w:rPr>
          <w:rFonts w:ascii="Arial" w:hAnsi="Arial" w:cs="Arial"/>
          <w:b/>
          <w:bCs/>
          <w:sz w:val="96"/>
          <w:szCs w:val="96"/>
        </w:rPr>
      </w:pPr>
      <w:r w:rsidRPr="003251A9">
        <w:rPr>
          <w:rFonts w:ascii="Arial" w:hAnsi="Arial" w:cs="Arial"/>
          <w:b/>
          <w:bCs/>
          <w:sz w:val="96"/>
          <w:szCs w:val="96"/>
        </w:rPr>
        <w:t>Workforce Race Equality Standard (WRES) 20</w:t>
      </w:r>
      <w:r w:rsidR="003251A9" w:rsidRPr="003251A9">
        <w:rPr>
          <w:rFonts w:ascii="Arial" w:hAnsi="Arial" w:cs="Arial"/>
          <w:b/>
          <w:bCs/>
          <w:sz w:val="96"/>
          <w:szCs w:val="96"/>
        </w:rPr>
        <w:t>20</w:t>
      </w:r>
      <w:r w:rsidRPr="003251A9">
        <w:rPr>
          <w:rFonts w:ascii="Arial" w:hAnsi="Arial" w:cs="Arial"/>
          <w:b/>
          <w:bCs/>
          <w:sz w:val="96"/>
          <w:szCs w:val="96"/>
        </w:rPr>
        <w:t xml:space="preserve"> </w:t>
      </w:r>
    </w:p>
    <w:p w:rsidR="001F7F0A" w:rsidRPr="003251A9" w:rsidRDefault="006C6C82" w:rsidP="001F7F0A">
      <w:pPr>
        <w:rPr>
          <w:rFonts w:ascii="Arial" w:hAnsi="Arial" w:cs="Arial"/>
          <w:sz w:val="96"/>
          <w:szCs w:val="96"/>
        </w:rPr>
      </w:pPr>
      <w:r w:rsidRPr="003251A9">
        <w:rPr>
          <w:rFonts w:ascii="Arial" w:hAnsi="Arial" w:cs="Arial"/>
          <w:b/>
          <w:bCs/>
          <w:sz w:val="96"/>
          <w:szCs w:val="96"/>
        </w:rPr>
        <w:t>R</w:t>
      </w:r>
      <w:r w:rsidR="001F7F0A" w:rsidRPr="003251A9">
        <w:rPr>
          <w:rFonts w:ascii="Arial" w:hAnsi="Arial" w:cs="Arial"/>
          <w:b/>
          <w:bCs/>
          <w:sz w:val="96"/>
          <w:szCs w:val="96"/>
        </w:rPr>
        <w:t xml:space="preserve">eporting  </w:t>
      </w:r>
    </w:p>
    <w:p w:rsidR="003251A9" w:rsidRDefault="003251A9" w:rsidP="001F7F0A">
      <w:pPr>
        <w:rPr>
          <w:b/>
          <w:bCs/>
        </w:rPr>
      </w:pPr>
    </w:p>
    <w:p w:rsidR="003251A9" w:rsidRDefault="003251A9" w:rsidP="001F7F0A">
      <w:pPr>
        <w:rPr>
          <w:b/>
          <w:bCs/>
        </w:rPr>
      </w:pPr>
    </w:p>
    <w:p w:rsidR="003251A9" w:rsidRDefault="003251A9" w:rsidP="001F7F0A">
      <w:pPr>
        <w:rPr>
          <w:b/>
          <w:bCs/>
        </w:rPr>
      </w:pPr>
    </w:p>
    <w:p w:rsidR="003251A9" w:rsidRDefault="003251A9" w:rsidP="001F7F0A">
      <w:pPr>
        <w:rPr>
          <w:b/>
          <w:bCs/>
        </w:rPr>
      </w:pPr>
    </w:p>
    <w:p w:rsidR="003251A9" w:rsidRDefault="003251A9" w:rsidP="001F7F0A">
      <w:pPr>
        <w:rPr>
          <w:b/>
          <w:bCs/>
        </w:rPr>
      </w:pPr>
    </w:p>
    <w:p w:rsidR="003251A9" w:rsidRDefault="003251A9" w:rsidP="001F7F0A">
      <w:pPr>
        <w:rPr>
          <w:b/>
          <w:bCs/>
        </w:rPr>
      </w:pPr>
    </w:p>
    <w:p w:rsidR="003251A9" w:rsidRDefault="003251A9" w:rsidP="001F7F0A">
      <w:pPr>
        <w:rPr>
          <w:b/>
          <w:bCs/>
        </w:rPr>
      </w:pPr>
    </w:p>
    <w:p w:rsidR="001F7F0A" w:rsidRPr="003251A9" w:rsidRDefault="001F7F0A" w:rsidP="003251A9">
      <w:pPr>
        <w:pStyle w:val="ListParagraph"/>
        <w:numPr>
          <w:ilvl w:val="0"/>
          <w:numId w:val="2"/>
        </w:numPr>
        <w:ind w:left="284" w:hanging="284"/>
        <w:rPr>
          <w:rFonts w:ascii="Arial" w:hAnsi="Arial" w:cs="Arial"/>
          <w:b/>
          <w:bCs/>
          <w:sz w:val="24"/>
          <w:szCs w:val="24"/>
        </w:rPr>
      </w:pPr>
      <w:r w:rsidRPr="003251A9">
        <w:rPr>
          <w:rFonts w:ascii="Arial" w:hAnsi="Arial" w:cs="Arial"/>
          <w:b/>
          <w:bCs/>
          <w:sz w:val="24"/>
          <w:szCs w:val="24"/>
        </w:rPr>
        <w:lastRenderedPageBreak/>
        <w:t xml:space="preserve">Name of organisation </w:t>
      </w:r>
    </w:p>
    <w:p w:rsidR="00E012E9" w:rsidRPr="003251A9" w:rsidRDefault="00E012E9" w:rsidP="001F7F0A">
      <w:pPr>
        <w:rPr>
          <w:rFonts w:ascii="Arial" w:hAnsi="Arial" w:cs="Arial"/>
          <w:color w:val="0070C0"/>
          <w:sz w:val="24"/>
          <w:szCs w:val="24"/>
        </w:rPr>
      </w:pPr>
      <w:r w:rsidRPr="003251A9">
        <w:rPr>
          <w:rFonts w:ascii="Arial" w:hAnsi="Arial" w:cs="Arial"/>
          <w:color w:val="0070C0"/>
          <w:sz w:val="24"/>
          <w:szCs w:val="24"/>
        </w:rPr>
        <w:t>Northampton General Hospital NHS Trust</w:t>
      </w:r>
    </w:p>
    <w:p w:rsidR="001F7F0A" w:rsidRPr="003251A9" w:rsidRDefault="001F7F0A" w:rsidP="001F7F0A">
      <w:pPr>
        <w:rPr>
          <w:rFonts w:ascii="Arial" w:hAnsi="Arial" w:cs="Arial"/>
          <w:sz w:val="24"/>
          <w:szCs w:val="24"/>
        </w:rPr>
      </w:pPr>
      <w:r w:rsidRPr="003251A9">
        <w:rPr>
          <w:rFonts w:ascii="Arial" w:hAnsi="Arial" w:cs="Arial"/>
          <w:b/>
          <w:bCs/>
          <w:sz w:val="24"/>
          <w:szCs w:val="24"/>
        </w:rPr>
        <w:t xml:space="preserve">2. Date of report </w:t>
      </w:r>
    </w:p>
    <w:p w:rsidR="001F7F0A" w:rsidRPr="003251A9" w:rsidRDefault="004D7417" w:rsidP="001F7F0A">
      <w:pPr>
        <w:rPr>
          <w:rFonts w:ascii="Arial" w:hAnsi="Arial" w:cs="Arial"/>
          <w:color w:val="0070C0"/>
          <w:sz w:val="24"/>
          <w:szCs w:val="24"/>
        </w:rPr>
      </w:pPr>
      <w:r w:rsidRPr="003251A9">
        <w:rPr>
          <w:rFonts w:ascii="Arial" w:hAnsi="Arial" w:cs="Arial"/>
          <w:color w:val="0070C0"/>
          <w:sz w:val="24"/>
          <w:szCs w:val="24"/>
        </w:rPr>
        <w:t xml:space="preserve">August </w:t>
      </w:r>
      <w:r w:rsidR="003251A9" w:rsidRPr="003251A9">
        <w:rPr>
          <w:rFonts w:ascii="Arial" w:hAnsi="Arial" w:cs="Arial"/>
          <w:color w:val="0070C0"/>
          <w:sz w:val="24"/>
          <w:szCs w:val="24"/>
        </w:rPr>
        <w:t>2020</w:t>
      </w:r>
    </w:p>
    <w:p w:rsidR="001F7F0A" w:rsidRPr="003251A9" w:rsidRDefault="001F7F0A" w:rsidP="001F7F0A">
      <w:pPr>
        <w:rPr>
          <w:rFonts w:ascii="Arial" w:hAnsi="Arial" w:cs="Arial"/>
          <w:sz w:val="24"/>
          <w:szCs w:val="24"/>
        </w:rPr>
      </w:pPr>
      <w:r w:rsidRPr="003251A9">
        <w:rPr>
          <w:rFonts w:ascii="Arial" w:hAnsi="Arial" w:cs="Arial"/>
          <w:b/>
          <w:bCs/>
          <w:sz w:val="24"/>
          <w:szCs w:val="24"/>
        </w:rPr>
        <w:t xml:space="preserve">3. Name and title of Board lead for the Workforce Race Equality Standard </w:t>
      </w:r>
    </w:p>
    <w:p w:rsidR="001F7F0A" w:rsidRPr="003251A9" w:rsidRDefault="003251A9" w:rsidP="001F7F0A">
      <w:pPr>
        <w:rPr>
          <w:rFonts w:ascii="Arial" w:hAnsi="Arial" w:cs="Arial"/>
          <w:color w:val="0070C0"/>
          <w:sz w:val="24"/>
          <w:szCs w:val="24"/>
        </w:rPr>
      </w:pPr>
      <w:r w:rsidRPr="003251A9">
        <w:rPr>
          <w:rFonts w:ascii="Arial" w:hAnsi="Arial" w:cs="Arial"/>
          <w:color w:val="0070C0"/>
          <w:sz w:val="24"/>
          <w:szCs w:val="24"/>
        </w:rPr>
        <w:t>Mark Smith, Chief People Officer</w:t>
      </w:r>
    </w:p>
    <w:p w:rsidR="001F7F0A" w:rsidRPr="003251A9" w:rsidRDefault="001F7F0A" w:rsidP="001F7F0A">
      <w:pPr>
        <w:rPr>
          <w:rFonts w:ascii="Arial" w:hAnsi="Arial" w:cs="Arial"/>
          <w:sz w:val="24"/>
          <w:szCs w:val="24"/>
        </w:rPr>
      </w:pPr>
      <w:r w:rsidRPr="003251A9">
        <w:rPr>
          <w:rFonts w:ascii="Arial" w:hAnsi="Arial" w:cs="Arial"/>
          <w:b/>
          <w:bCs/>
          <w:sz w:val="24"/>
          <w:szCs w:val="24"/>
        </w:rPr>
        <w:t xml:space="preserve">4. Name and contact details of lead manager compiling this report </w:t>
      </w:r>
    </w:p>
    <w:p w:rsidR="001F7F0A" w:rsidRPr="003251A9" w:rsidRDefault="00E012E9" w:rsidP="001F7F0A">
      <w:pPr>
        <w:rPr>
          <w:rFonts w:ascii="Arial" w:hAnsi="Arial" w:cs="Arial"/>
          <w:color w:val="0070C0"/>
          <w:sz w:val="24"/>
          <w:szCs w:val="24"/>
        </w:rPr>
      </w:pPr>
      <w:r w:rsidRPr="003251A9">
        <w:rPr>
          <w:rFonts w:ascii="Arial" w:hAnsi="Arial" w:cs="Arial"/>
          <w:color w:val="0070C0"/>
          <w:sz w:val="24"/>
          <w:szCs w:val="24"/>
        </w:rPr>
        <w:t xml:space="preserve">Sarah Kinsella, Corporate HR Officer, </w:t>
      </w:r>
      <w:hyperlink r:id="rId8" w:history="1">
        <w:r w:rsidR="003251A9" w:rsidRPr="003251A9">
          <w:rPr>
            <w:rStyle w:val="Hyperlink"/>
            <w:rFonts w:ascii="Arial" w:hAnsi="Arial" w:cs="Arial"/>
            <w:sz w:val="24"/>
            <w:szCs w:val="24"/>
          </w:rPr>
          <w:t>sarah.kinsella@ngh.nhs.uk</w:t>
        </w:r>
      </w:hyperlink>
      <w:r w:rsidR="003251A9" w:rsidRPr="003251A9">
        <w:rPr>
          <w:rFonts w:ascii="Arial" w:hAnsi="Arial" w:cs="Arial"/>
          <w:color w:val="0070C0"/>
          <w:sz w:val="24"/>
          <w:szCs w:val="24"/>
        </w:rPr>
        <w:t xml:space="preserve"> &amp; Tim Brown, Head of Equality, Diversity and Inclusion, </w:t>
      </w:r>
      <w:hyperlink r:id="rId9" w:history="1">
        <w:r w:rsidR="003251A9" w:rsidRPr="003251A9">
          <w:rPr>
            <w:rStyle w:val="Hyperlink"/>
            <w:rFonts w:ascii="Arial" w:hAnsi="Arial" w:cs="Arial"/>
            <w:sz w:val="24"/>
            <w:szCs w:val="24"/>
          </w:rPr>
          <w:t>tim.brown@ngh.nhs.uk</w:t>
        </w:r>
      </w:hyperlink>
      <w:r w:rsidR="003251A9" w:rsidRPr="003251A9">
        <w:rPr>
          <w:rFonts w:ascii="Arial" w:hAnsi="Arial" w:cs="Arial"/>
          <w:color w:val="0070C0"/>
          <w:sz w:val="24"/>
          <w:szCs w:val="24"/>
        </w:rPr>
        <w:t xml:space="preserve">. </w:t>
      </w:r>
    </w:p>
    <w:p w:rsidR="001F7F0A" w:rsidRPr="003251A9" w:rsidRDefault="001F7F0A" w:rsidP="001F7F0A">
      <w:pPr>
        <w:rPr>
          <w:rFonts w:ascii="Arial" w:hAnsi="Arial" w:cs="Arial"/>
          <w:sz w:val="24"/>
          <w:szCs w:val="24"/>
        </w:rPr>
      </w:pPr>
      <w:r w:rsidRPr="003251A9">
        <w:rPr>
          <w:rFonts w:ascii="Arial" w:hAnsi="Arial" w:cs="Arial"/>
          <w:b/>
          <w:bCs/>
          <w:sz w:val="24"/>
          <w:szCs w:val="24"/>
        </w:rPr>
        <w:t xml:space="preserve">5. Names of commissioners this report has been sent to </w:t>
      </w:r>
    </w:p>
    <w:p w:rsidR="001F7F0A" w:rsidRPr="003251A9" w:rsidRDefault="00E012E9" w:rsidP="001F7F0A">
      <w:pPr>
        <w:rPr>
          <w:rFonts w:ascii="Arial" w:hAnsi="Arial" w:cs="Arial"/>
          <w:color w:val="0070C0"/>
          <w:sz w:val="24"/>
          <w:szCs w:val="24"/>
        </w:rPr>
      </w:pPr>
      <w:r w:rsidRPr="003251A9">
        <w:rPr>
          <w:rFonts w:ascii="Arial" w:hAnsi="Arial" w:cs="Arial"/>
          <w:color w:val="0070C0"/>
          <w:sz w:val="24"/>
          <w:szCs w:val="24"/>
        </w:rPr>
        <w:t xml:space="preserve">NHS </w:t>
      </w:r>
      <w:r w:rsidR="00973035">
        <w:rPr>
          <w:rFonts w:ascii="Arial" w:hAnsi="Arial" w:cs="Arial"/>
          <w:color w:val="0070C0"/>
          <w:sz w:val="24"/>
          <w:szCs w:val="24"/>
        </w:rPr>
        <w:t xml:space="preserve">Northamptonshire </w:t>
      </w:r>
      <w:r w:rsidRPr="003251A9">
        <w:rPr>
          <w:rFonts w:ascii="Arial" w:hAnsi="Arial" w:cs="Arial"/>
          <w:color w:val="0070C0"/>
          <w:sz w:val="24"/>
          <w:szCs w:val="24"/>
        </w:rPr>
        <w:t>Clinical Commissioning Group</w:t>
      </w:r>
    </w:p>
    <w:p w:rsidR="001F7F0A" w:rsidRPr="003251A9" w:rsidRDefault="001F7F0A" w:rsidP="001F7F0A">
      <w:pPr>
        <w:rPr>
          <w:rFonts w:ascii="Arial" w:hAnsi="Arial" w:cs="Arial"/>
          <w:sz w:val="24"/>
          <w:szCs w:val="24"/>
        </w:rPr>
      </w:pPr>
      <w:r w:rsidRPr="003251A9">
        <w:rPr>
          <w:rFonts w:ascii="Arial" w:hAnsi="Arial" w:cs="Arial"/>
          <w:b/>
          <w:bCs/>
          <w:sz w:val="24"/>
          <w:szCs w:val="24"/>
        </w:rPr>
        <w:t xml:space="preserve">6. Name and contact details of coordinating commissioner this report has been sent to </w:t>
      </w:r>
    </w:p>
    <w:p w:rsidR="00AD4003" w:rsidRPr="003251A9" w:rsidRDefault="00AD4003" w:rsidP="001F7F0A">
      <w:pPr>
        <w:rPr>
          <w:rFonts w:ascii="Arial" w:hAnsi="Arial" w:cs="Arial"/>
          <w:color w:val="0070C0"/>
          <w:sz w:val="24"/>
          <w:szCs w:val="24"/>
        </w:rPr>
      </w:pPr>
      <w:r w:rsidRPr="003251A9">
        <w:rPr>
          <w:rFonts w:ascii="Arial" w:hAnsi="Arial" w:cs="Arial"/>
          <w:color w:val="0070C0"/>
          <w:sz w:val="24"/>
          <w:szCs w:val="24"/>
        </w:rPr>
        <w:t>CCG Quality Team</w:t>
      </w:r>
    </w:p>
    <w:p w:rsidR="001F7F0A" w:rsidRPr="003251A9" w:rsidRDefault="001F7F0A" w:rsidP="001F7F0A">
      <w:pPr>
        <w:rPr>
          <w:rFonts w:ascii="Arial" w:hAnsi="Arial" w:cs="Arial"/>
          <w:sz w:val="24"/>
          <w:szCs w:val="24"/>
        </w:rPr>
      </w:pPr>
      <w:r w:rsidRPr="003251A9">
        <w:rPr>
          <w:rFonts w:ascii="Arial" w:hAnsi="Arial" w:cs="Arial"/>
          <w:b/>
          <w:bCs/>
          <w:sz w:val="24"/>
          <w:szCs w:val="24"/>
        </w:rPr>
        <w:t xml:space="preserve">7. Unique URL link on which this Report and associated Action Plan will be found </w:t>
      </w:r>
    </w:p>
    <w:p w:rsidR="003251A9" w:rsidRPr="003251A9" w:rsidRDefault="000D1AA5" w:rsidP="001F7F0A">
      <w:pPr>
        <w:rPr>
          <w:rFonts w:ascii="Arial" w:hAnsi="Arial" w:cs="Arial"/>
          <w:sz w:val="24"/>
          <w:szCs w:val="24"/>
        </w:rPr>
      </w:pPr>
      <w:hyperlink r:id="rId10" w:history="1">
        <w:r w:rsidR="003251A9" w:rsidRPr="003251A9">
          <w:rPr>
            <w:rStyle w:val="Hyperlink"/>
            <w:rFonts w:ascii="Arial" w:hAnsi="Arial" w:cs="Arial"/>
            <w:sz w:val="24"/>
            <w:szCs w:val="24"/>
          </w:rPr>
          <w:t>https://www.northamptongeneral.nhs.uk/About/Equality-and-diversity-information/Equality-Diversity-Inclusion.aspx</w:t>
        </w:r>
      </w:hyperlink>
    </w:p>
    <w:p w:rsidR="001F7F0A" w:rsidRPr="003251A9" w:rsidRDefault="001F7F0A" w:rsidP="001F7F0A">
      <w:pPr>
        <w:rPr>
          <w:rFonts w:ascii="Arial" w:hAnsi="Arial" w:cs="Arial"/>
          <w:sz w:val="24"/>
          <w:szCs w:val="24"/>
        </w:rPr>
      </w:pPr>
      <w:r w:rsidRPr="003251A9">
        <w:rPr>
          <w:rFonts w:ascii="Arial" w:hAnsi="Arial" w:cs="Arial"/>
          <w:b/>
          <w:bCs/>
          <w:sz w:val="24"/>
          <w:szCs w:val="24"/>
        </w:rPr>
        <w:t xml:space="preserve">8. This report has been signed off by on behalf of the board on </w:t>
      </w:r>
    </w:p>
    <w:p w:rsidR="001F7F0A" w:rsidRPr="0054575D" w:rsidRDefault="001F7F0A" w:rsidP="001F7F0A">
      <w:pPr>
        <w:rPr>
          <w:rFonts w:ascii="Arial" w:hAnsi="Arial" w:cs="Arial"/>
          <w:color w:val="0070C0"/>
          <w:sz w:val="24"/>
          <w:szCs w:val="24"/>
        </w:rPr>
      </w:pPr>
      <w:r w:rsidRPr="0054575D">
        <w:rPr>
          <w:rFonts w:ascii="Arial" w:hAnsi="Arial" w:cs="Arial"/>
          <w:sz w:val="24"/>
          <w:szCs w:val="24"/>
        </w:rPr>
        <w:t xml:space="preserve">Date: </w:t>
      </w:r>
      <w:r w:rsidR="00A70756" w:rsidRPr="0054575D">
        <w:rPr>
          <w:rFonts w:ascii="Arial" w:hAnsi="Arial" w:cs="Arial"/>
          <w:color w:val="0070C0"/>
          <w:sz w:val="24"/>
          <w:szCs w:val="24"/>
        </w:rPr>
        <w:t>2</w:t>
      </w:r>
      <w:r w:rsidR="0054575D" w:rsidRPr="0054575D">
        <w:rPr>
          <w:rFonts w:ascii="Arial" w:hAnsi="Arial" w:cs="Arial"/>
          <w:color w:val="0070C0"/>
          <w:sz w:val="24"/>
          <w:szCs w:val="24"/>
        </w:rPr>
        <w:t>4</w:t>
      </w:r>
      <w:r w:rsidR="00A70756" w:rsidRPr="0054575D">
        <w:rPr>
          <w:rFonts w:ascii="Arial" w:hAnsi="Arial" w:cs="Arial"/>
          <w:color w:val="0070C0"/>
          <w:sz w:val="24"/>
          <w:szCs w:val="24"/>
        </w:rPr>
        <w:t xml:space="preserve"> </w:t>
      </w:r>
      <w:r w:rsidR="0054575D" w:rsidRPr="0054575D">
        <w:rPr>
          <w:rFonts w:ascii="Arial" w:hAnsi="Arial" w:cs="Arial"/>
          <w:color w:val="0070C0"/>
          <w:sz w:val="24"/>
          <w:szCs w:val="24"/>
        </w:rPr>
        <w:t>September 2020</w:t>
      </w:r>
    </w:p>
    <w:p w:rsidR="003251A9" w:rsidRPr="003251A9" w:rsidRDefault="001F7F0A" w:rsidP="003251A9">
      <w:pPr>
        <w:rPr>
          <w:rFonts w:ascii="Arial" w:hAnsi="Arial" w:cs="Arial"/>
          <w:color w:val="0070C0"/>
          <w:sz w:val="24"/>
          <w:szCs w:val="24"/>
        </w:rPr>
      </w:pPr>
      <w:r w:rsidRPr="003251A9">
        <w:rPr>
          <w:rFonts w:ascii="Arial" w:hAnsi="Arial" w:cs="Arial"/>
          <w:sz w:val="24"/>
          <w:szCs w:val="24"/>
        </w:rPr>
        <w:t xml:space="preserve">Name: </w:t>
      </w:r>
      <w:r w:rsidR="003251A9" w:rsidRPr="003251A9">
        <w:rPr>
          <w:rFonts w:ascii="Arial" w:hAnsi="Arial" w:cs="Arial"/>
          <w:color w:val="0070C0"/>
          <w:sz w:val="24"/>
          <w:szCs w:val="24"/>
        </w:rPr>
        <w:t>Mark Smith, Chief People Officer</w:t>
      </w:r>
    </w:p>
    <w:p w:rsidR="003251A9" w:rsidRDefault="003251A9" w:rsidP="001F7F0A">
      <w:pPr>
        <w:rPr>
          <w:rFonts w:ascii="Arial" w:hAnsi="Arial" w:cs="Arial"/>
          <w:b/>
          <w:bCs/>
          <w:sz w:val="24"/>
          <w:szCs w:val="24"/>
          <w:highlight w:val="yellow"/>
        </w:rPr>
      </w:pPr>
    </w:p>
    <w:p w:rsidR="001F7F0A" w:rsidRPr="003251A9" w:rsidRDefault="001F7F0A" w:rsidP="001F7F0A">
      <w:pPr>
        <w:rPr>
          <w:rFonts w:ascii="Arial" w:hAnsi="Arial" w:cs="Arial"/>
          <w:sz w:val="24"/>
          <w:szCs w:val="24"/>
        </w:rPr>
      </w:pPr>
      <w:r w:rsidRPr="003251A9">
        <w:rPr>
          <w:rFonts w:ascii="Arial" w:hAnsi="Arial" w:cs="Arial"/>
          <w:b/>
          <w:bCs/>
          <w:sz w:val="24"/>
          <w:szCs w:val="24"/>
        </w:rPr>
        <w:t xml:space="preserve">Background narrative </w:t>
      </w:r>
    </w:p>
    <w:p w:rsidR="001F7F0A" w:rsidRPr="003251A9" w:rsidRDefault="001F7F0A" w:rsidP="001F7F0A">
      <w:pPr>
        <w:rPr>
          <w:rFonts w:ascii="Arial" w:hAnsi="Arial" w:cs="Arial"/>
          <w:sz w:val="24"/>
          <w:szCs w:val="24"/>
        </w:rPr>
      </w:pPr>
      <w:r w:rsidRPr="003251A9">
        <w:rPr>
          <w:rFonts w:ascii="Arial" w:hAnsi="Arial" w:cs="Arial"/>
          <w:b/>
          <w:bCs/>
          <w:sz w:val="24"/>
          <w:szCs w:val="24"/>
        </w:rPr>
        <w:t xml:space="preserve">9. Any issues of completeness of data </w:t>
      </w:r>
    </w:p>
    <w:p w:rsidR="001534FE" w:rsidRPr="003251A9" w:rsidRDefault="001534FE" w:rsidP="001534FE">
      <w:pPr>
        <w:rPr>
          <w:rFonts w:ascii="Arial" w:hAnsi="Arial" w:cs="Arial"/>
          <w:color w:val="0070C0"/>
          <w:sz w:val="24"/>
          <w:szCs w:val="24"/>
        </w:rPr>
      </w:pPr>
      <w:r w:rsidRPr="003251A9">
        <w:rPr>
          <w:rFonts w:ascii="Arial" w:hAnsi="Arial" w:cs="Arial"/>
          <w:color w:val="0070C0"/>
          <w:sz w:val="24"/>
          <w:szCs w:val="24"/>
        </w:rPr>
        <w:t>The Trust collects ethnic data through the completion of job applications by candidates via NHS Jobs2 which, for successful candidates, is then uploaded to ESR.  The Trust is therefore reliant on applicants completing th</w:t>
      </w:r>
      <w:r w:rsidR="00AF5248" w:rsidRPr="003251A9">
        <w:rPr>
          <w:rFonts w:ascii="Arial" w:hAnsi="Arial" w:cs="Arial"/>
          <w:color w:val="0070C0"/>
          <w:sz w:val="24"/>
          <w:szCs w:val="24"/>
        </w:rPr>
        <w:t>ese</w:t>
      </w:r>
      <w:r w:rsidRPr="003251A9">
        <w:rPr>
          <w:rFonts w:ascii="Arial" w:hAnsi="Arial" w:cs="Arial"/>
          <w:color w:val="0070C0"/>
          <w:sz w:val="24"/>
          <w:szCs w:val="24"/>
        </w:rPr>
        <w:t xml:space="preserve"> element</w:t>
      </w:r>
      <w:r w:rsidR="00AF5248" w:rsidRPr="003251A9">
        <w:rPr>
          <w:rFonts w:ascii="Arial" w:hAnsi="Arial" w:cs="Arial"/>
          <w:color w:val="0070C0"/>
          <w:sz w:val="24"/>
          <w:szCs w:val="24"/>
        </w:rPr>
        <w:t>s</w:t>
      </w:r>
      <w:r w:rsidRPr="003251A9">
        <w:rPr>
          <w:rFonts w:ascii="Arial" w:hAnsi="Arial" w:cs="Arial"/>
          <w:color w:val="0070C0"/>
          <w:sz w:val="24"/>
          <w:szCs w:val="24"/>
        </w:rPr>
        <w:t xml:space="preserve"> of the application form.  </w:t>
      </w:r>
    </w:p>
    <w:p w:rsidR="00A20755" w:rsidRPr="008D78E7" w:rsidRDefault="001534FE" w:rsidP="001534FE">
      <w:pPr>
        <w:rPr>
          <w:rFonts w:ascii="Arial" w:hAnsi="Arial" w:cs="Arial"/>
          <w:color w:val="0070C0"/>
          <w:sz w:val="24"/>
          <w:szCs w:val="24"/>
        </w:rPr>
      </w:pPr>
      <w:r w:rsidRPr="008D78E7">
        <w:rPr>
          <w:rFonts w:ascii="Arial" w:hAnsi="Arial" w:cs="Arial"/>
          <w:color w:val="0070C0"/>
          <w:sz w:val="24"/>
          <w:szCs w:val="24"/>
        </w:rPr>
        <w:t xml:space="preserve">The data for the period that this report covers shows that </w:t>
      </w:r>
      <w:r w:rsidR="00B84226" w:rsidRPr="008D78E7">
        <w:rPr>
          <w:rFonts w:ascii="Arial" w:hAnsi="Arial" w:cs="Arial"/>
          <w:color w:val="0070C0"/>
          <w:sz w:val="24"/>
          <w:szCs w:val="24"/>
        </w:rPr>
        <w:t>3.</w:t>
      </w:r>
      <w:r w:rsidR="003251A9" w:rsidRPr="008D78E7">
        <w:rPr>
          <w:rFonts w:ascii="Arial" w:hAnsi="Arial" w:cs="Arial"/>
          <w:color w:val="0070C0"/>
          <w:sz w:val="24"/>
          <w:szCs w:val="24"/>
        </w:rPr>
        <w:t>88</w:t>
      </w:r>
      <w:r w:rsidR="00B84226" w:rsidRPr="008D78E7">
        <w:rPr>
          <w:rFonts w:ascii="Arial" w:hAnsi="Arial" w:cs="Arial"/>
          <w:color w:val="0070C0"/>
          <w:sz w:val="24"/>
          <w:szCs w:val="24"/>
        </w:rPr>
        <w:t xml:space="preserve">% </w:t>
      </w:r>
      <w:r w:rsidR="003F66F2" w:rsidRPr="008D78E7">
        <w:rPr>
          <w:rFonts w:ascii="Arial" w:hAnsi="Arial" w:cs="Arial"/>
          <w:color w:val="0070C0"/>
          <w:sz w:val="24"/>
          <w:szCs w:val="24"/>
        </w:rPr>
        <w:t xml:space="preserve">of Trust employees </w:t>
      </w:r>
      <w:r w:rsidRPr="008D78E7">
        <w:rPr>
          <w:rFonts w:ascii="Arial" w:hAnsi="Arial" w:cs="Arial"/>
          <w:color w:val="0070C0"/>
          <w:sz w:val="24"/>
          <w:szCs w:val="24"/>
        </w:rPr>
        <w:t>have not stated/given their ethnic</w:t>
      </w:r>
      <w:r w:rsidR="004D7417" w:rsidRPr="008D78E7">
        <w:rPr>
          <w:rFonts w:ascii="Arial" w:hAnsi="Arial" w:cs="Arial"/>
          <w:color w:val="0070C0"/>
          <w:sz w:val="24"/>
          <w:szCs w:val="24"/>
        </w:rPr>
        <w:t>ity or have a null entry on ESR</w:t>
      </w:r>
    </w:p>
    <w:p w:rsidR="001F7F0A" w:rsidRPr="008D78E7" w:rsidRDefault="001F7F0A" w:rsidP="001F7F0A">
      <w:pPr>
        <w:rPr>
          <w:rFonts w:ascii="Arial" w:hAnsi="Arial" w:cs="Arial"/>
          <w:sz w:val="24"/>
          <w:szCs w:val="24"/>
        </w:rPr>
      </w:pPr>
      <w:r w:rsidRPr="008D78E7">
        <w:rPr>
          <w:rFonts w:ascii="Arial" w:hAnsi="Arial" w:cs="Arial"/>
          <w:b/>
          <w:bCs/>
          <w:sz w:val="24"/>
          <w:szCs w:val="24"/>
        </w:rPr>
        <w:lastRenderedPageBreak/>
        <w:t xml:space="preserve">10. Any matters relating to reliability of comparisons with previous years </w:t>
      </w:r>
    </w:p>
    <w:p w:rsidR="001F7F0A" w:rsidRPr="008D78E7" w:rsidRDefault="00B84226" w:rsidP="001F7F0A">
      <w:pPr>
        <w:rPr>
          <w:rFonts w:ascii="Arial" w:hAnsi="Arial" w:cs="Arial"/>
          <w:color w:val="0070C0"/>
          <w:sz w:val="24"/>
          <w:szCs w:val="24"/>
        </w:rPr>
      </w:pPr>
      <w:r w:rsidRPr="008D78E7">
        <w:rPr>
          <w:rFonts w:ascii="Arial" w:hAnsi="Arial" w:cs="Arial"/>
          <w:color w:val="0070C0"/>
          <w:sz w:val="24"/>
          <w:szCs w:val="24"/>
        </w:rPr>
        <w:t xml:space="preserve">There has been </w:t>
      </w:r>
      <w:r w:rsidR="00A10E77" w:rsidRPr="008D78E7">
        <w:rPr>
          <w:rFonts w:ascii="Arial" w:hAnsi="Arial" w:cs="Arial"/>
          <w:color w:val="0070C0"/>
          <w:sz w:val="24"/>
          <w:szCs w:val="24"/>
        </w:rPr>
        <w:t>a</w:t>
      </w:r>
      <w:r w:rsidR="008D78E7" w:rsidRPr="008D78E7">
        <w:rPr>
          <w:rFonts w:ascii="Arial" w:hAnsi="Arial" w:cs="Arial"/>
          <w:color w:val="0070C0"/>
          <w:sz w:val="24"/>
          <w:szCs w:val="24"/>
        </w:rPr>
        <w:t xml:space="preserve"> decrease of </w:t>
      </w:r>
      <w:r w:rsidR="004D7417" w:rsidRPr="008D78E7">
        <w:rPr>
          <w:rFonts w:ascii="Arial" w:hAnsi="Arial" w:cs="Arial"/>
          <w:color w:val="0070C0"/>
          <w:sz w:val="24"/>
          <w:szCs w:val="24"/>
        </w:rPr>
        <w:t>0</w:t>
      </w:r>
      <w:r w:rsidRPr="008D78E7">
        <w:rPr>
          <w:rFonts w:ascii="Arial" w:hAnsi="Arial" w:cs="Arial"/>
          <w:color w:val="0070C0"/>
          <w:sz w:val="24"/>
          <w:szCs w:val="24"/>
        </w:rPr>
        <w:t>.</w:t>
      </w:r>
      <w:r w:rsidR="008D78E7" w:rsidRPr="008D78E7">
        <w:rPr>
          <w:rFonts w:ascii="Arial" w:hAnsi="Arial" w:cs="Arial"/>
          <w:color w:val="0070C0"/>
          <w:sz w:val="24"/>
          <w:szCs w:val="24"/>
        </w:rPr>
        <w:t>09</w:t>
      </w:r>
      <w:r w:rsidRPr="008D78E7">
        <w:rPr>
          <w:rFonts w:ascii="Arial" w:hAnsi="Arial" w:cs="Arial"/>
          <w:color w:val="0070C0"/>
          <w:sz w:val="24"/>
          <w:szCs w:val="24"/>
        </w:rPr>
        <w:t xml:space="preserve">% </w:t>
      </w:r>
      <w:r w:rsidR="003F66F2" w:rsidRPr="008D78E7">
        <w:rPr>
          <w:rFonts w:ascii="Arial" w:hAnsi="Arial" w:cs="Arial"/>
          <w:color w:val="0070C0"/>
          <w:sz w:val="24"/>
          <w:szCs w:val="24"/>
        </w:rPr>
        <w:t xml:space="preserve">in the percentage of staff </w:t>
      </w:r>
      <w:r w:rsidR="00641024" w:rsidRPr="008D78E7">
        <w:rPr>
          <w:rFonts w:ascii="Arial" w:hAnsi="Arial" w:cs="Arial"/>
          <w:color w:val="0070C0"/>
          <w:sz w:val="24"/>
          <w:szCs w:val="24"/>
        </w:rPr>
        <w:t>that</w:t>
      </w:r>
      <w:r w:rsidR="003F66F2" w:rsidRPr="008D78E7">
        <w:rPr>
          <w:rFonts w:ascii="Arial" w:hAnsi="Arial" w:cs="Arial"/>
          <w:color w:val="0070C0"/>
          <w:sz w:val="24"/>
          <w:szCs w:val="24"/>
        </w:rPr>
        <w:t xml:space="preserve"> have not stated/given their ethnicity or have a null entry on ESR since the WRES data exercise was undertaken in 201</w:t>
      </w:r>
      <w:r w:rsidR="008D78E7" w:rsidRPr="008D78E7">
        <w:rPr>
          <w:rFonts w:ascii="Arial" w:hAnsi="Arial" w:cs="Arial"/>
          <w:color w:val="0070C0"/>
          <w:sz w:val="24"/>
          <w:szCs w:val="24"/>
        </w:rPr>
        <w:t>9</w:t>
      </w:r>
      <w:r w:rsidR="003F66F2" w:rsidRPr="008D78E7">
        <w:rPr>
          <w:rFonts w:ascii="Arial" w:hAnsi="Arial" w:cs="Arial"/>
          <w:color w:val="0070C0"/>
          <w:sz w:val="24"/>
          <w:szCs w:val="24"/>
        </w:rPr>
        <w:t>.</w:t>
      </w:r>
    </w:p>
    <w:p w:rsidR="001F7F0A" w:rsidRPr="008D78E7" w:rsidRDefault="001F7F0A" w:rsidP="001F7F0A">
      <w:pPr>
        <w:rPr>
          <w:rFonts w:ascii="Arial" w:hAnsi="Arial" w:cs="Arial"/>
          <w:sz w:val="24"/>
          <w:szCs w:val="24"/>
        </w:rPr>
      </w:pPr>
      <w:r w:rsidRPr="008D78E7">
        <w:rPr>
          <w:rFonts w:ascii="Arial" w:hAnsi="Arial" w:cs="Arial"/>
          <w:b/>
          <w:bCs/>
          <w:sz w:val="24"/>
          <w:szCs w:val="24"/>
        </w:rPr>
        <w:t xml:space="preserve">11. Total number of staff employed within this organisation at the date of the report </w:t>
      </w:r>
    </w:p>
    <w:p w:rsidR="001F7F0A" w:rsidRPr="00680026" w:rsidRDefault="008D78E7" w:rsidP="001F7F0A">
      <w:pPr>
        <w:rPr>
          <w:rFonts w:ascii="Arial" w:hAnsi="Arial" w:cs="Arial"/>
          <w:color w:val="0070C0"/>
          <w:sz w:val="24"/>
          <w:szCs w:val="24"/>
        </w:rPr>
      </w:pPr>
      <w:r w:rsidRPr="00680026">
        <w:rPr>
          <w:rFonts w:ascii="Arial" w:hAnsi="Arial" w:cs="Arial"/>
          <w:color w:val="0070C0"/>
          <w:sz w:val="24"/>
          <w:szCs w:val="24"/>
        </w:rPr>
        <w:t>5457</w:t>
      </w:r>
    </w:p>
    <w:p w:rsidR="001F7F0A" w:rsidRPr="00680026" w:rsidRDefault="001F7F0A" w:rsidP="001F7F0A">
      <w:pPr>
        <w:rPr>
          <w:rFonts w:ascii="Arial" w:hAnsi="Arial" w:cs="Arial"/>
          <w:sz w:val="24"/>
          <w:szCs w:val="24"/>
        </w:rPr>
      </w:pPr>
      <w:r w:rsidRPr="00680026">
        <w:rPr>
          <w:rFonts w:ascii="Arial" w:hAnsi="Arial" w:cs="Arial"/>
          <w:b/>
          <w:bCs/>
          <w:sz w:val="24"/>
          <w:szCs w:val="24"/>
        </w:rPr>
        <w:t xml:space="preserve">12. Proportion of BME staff employed within this organisation at the date of the report? </w:t>
      </w:r>
    </w:p>
    <w:p w:rsidR="001F7F0A" w:rsidRPr="00680026" w:rsidRDefault="00680026" w:rsidP="001F7F0A">
      <w:pPr>
        <w:rPr>
          <w:rFonts w:ascii="Arial" w:hAnsi="Arial" w:cs="Arial"/>
          <w:color w:val="0070C0"/>
          <w:sz w:val="24"/>
          <w:szCs w:val="24"/>
        </w:rPr>
      </w:pPr>
      <w:r w:rsidRPr="00680026">
        <w:rPr>
          <w:rFonts w:ascii="Arial" w:hAnsi="Arial" w:cs="Arial"/>
          <w:color w:val="0070C0"/>
          <w:sz w:val="24"/>
          <w:szCs w:val="24"/>
        </w:rPr>
        <w:t>24.43% (</w:t>
      </w:r>
      <w:r w:rsidR="004D7417" w:rsidRPr="00680026">
        <w:rPr>
          <w:rFonts w:ascii="Arial" w:hAnsi="Arial" w:cs="Arial"/>
          <w:color w:val="0070C0"/>
          <w:sz w:val="24"/>
          <w:szCs w:val="24"/>
        </w:rPr>
        <w:t>22.84%</w:t>
      </w:r>
      <w:r w:rsidRPr="00680026">
        <w:rPr>
          <w:rFonts w:ascii="Arial" w:hAnsi="Arial" w:cs="Arial"/>
          <w:color w:val="0070C0"/>
          <w:sz w:val="24"/>
          <w:szCs w:val="24"/>
        </w:rPr>
        <w:t xml:space="preserve"> in 2019)</w:t>
      </w:r>
    </w:p>
    <w:p w:rsidR="001F7F0A" w:rsidRPr="00680026" w:rsidRDefault="001F7F0A" w:rsidP="001F7F0A">
      <w:pPr>
        <w:rPr>
          <w:rFonts w:ascii="Arial" w:hAnsi="Arial" w:cs="Arial"/>
          <w:sz w:val="24"/>
          <w:szCs w:val="24"/>
        </w:rPr>
      </w:pPr>
      <w:r w:rsidRPr="00680026">
        <w:rPr>
          <w:rFonts w:ascii="Arial" w:hAnsi="Arial" w:cs="Arial"/>
          <w:b/>
          <w:bCs/>
          <w:sz w:val="24"/>
          <w:szCs w:val="24"/>
        </w:rPr>
        <w:t xml:space="preserve">13. The proportion of total staff who have self–reported their ethnicity? </w:t>
      </w:r>
    </w:p>
    <w:p w:rsidR="001F7F0A" w:rsidRPr="00680026" w:rsidRDefault="00680026" w:rsidP="001F7F0A">
      <w:pPr>
        <w:rPr>
          <w:rFonts w:ascii="Arial" w:hAnsi="Arial" w:cs="Arial"/>
          <w:color w:val="0070C0"/>
          <w:sz w:val="24"/>
          <w:szCs w:val="24"/>
        </w:rPr>
      </w:pPr>
      <w:r w:rsidRPr="00680026">
        <w:rPr>
          <w:rFonts w:ascii="Arial" w:hAnsi="Arial" w:cs="Arial"/>
          <w:color w:val="0070C0"/>
          <w:sz w:val="24"/>
          <w:szCs w:val="24"/>
        </w:rPr>
        <w:t>96.12% (</w:t>
      </w:r>
      <w:r w:rsidR="004D7417" w:rsidRPr="00680026">
        <w:rPr>
          <w:rFonts w:ascii="Arial" w:hAnsi="Arial" w:cs="Arial"/>
          <w:color w:val="0070C0"/>
          <w:sz w:val="24"/>
          <w:szCs w:val="24"/>
        </w:rPr>
        <w:t>96.03%</w:t>
      </w:r>
      <w:r w:rsidRPr="00680026">
        <w:rPr>
          <w:rFonts w:ascii="Arial" w:hAnsi="Arial" w:cs="Arial"/>
          <w:color w:val="0070C0"/>
          <w:sz w:val="24"/>
          <w:szCs w:val="24"/>
        </w:rPr>
        <w:t xml:space="preserve"> i</w:t>
      </w:r>
      <w:r w:rsidR="004D7417" w:rsidRPr="00680026">
        <w:rPr>
          <w:rFonts w:ascii="Arial" w:hAnsi="Arial" w:cs="Arial"/>
          <w:color w:val="0070C0"/>
          <w:sz w:val="24"/>
          <w:szCs w:val="24"/>
        </w:rPr>
        <w:t>n 201</w:t>
      </w:r>
      <w:r w:rsidRPr="00680026">
        <w:rPr>
          <w:rFonts w:ascii="Arial" w:hAnsi="Arial" w:cs="Arial"/>
          <w:color w:val="0070C0"/>
          <w:sz w:val="24"/>
          <w:szCs w:val="24"/>
        </w:rPr>
        <w:t>9</w:t>
      </w:r>
      <w:r w:rsidR="004D7417" w:rsidRPr="00680026">
        <w:rPr>
          <w:rFonts w:ascii="Arial" w:hAnsi="Arial" w:cs="Arial"/>
          <w:color w:val="0070C0"/>
          <w:sz w:val="24"/>
          <w:szCs w:val="24"/>
        </w:rPr>
        <w:t>)</w:t>
      </w:r>
    </w:p>
    <w:p w:rsidR="001F7F0A" w:rsidRPr="00680026" w:rsidRDefault="001F7F0A" w:rsidP="001F7F0A">
      <w:pPr>
        <w:rPr>
          <w:rFonts w:ascii="Arial" w:hAnsi="Arial" w:cs="Arial"/>
          <w:sz w:val="24"/>
          <w:szCs w:val="24"/>
        </w:rPr>
      </w:pPr>
      <w:r w:rsidRPr="00680026">
        <w:rPr>
          <w:rFonts w:ascii="Arial" w:hAnsi="Arial" w:cs="Arial"/>
          <w:b/>
          <w:bCs/>
          <w:sz w:val="24"/>
          <w:szCs w:val="24"/>
        </w:rPr>
        <w:t xml:space="preserve">14. Have any steps been taken in the last reporting period to improve the level of self reporting by ethnicity? </w:t>
      </w:r>
    </w:p>
    <w:p w:rsidR="001F7F0A" w:rsidRPr="00680026" w:rsidRDefault="002004B2" w:rsidP="001F7F0A">
      <w:pPr>
        <w:rPr>
          <w:rFonts w:ascii="Arial" w:hAnsi="Arial" w:cs="Arial"/>
          <w:color w:val="0070C0"/>
          <w:sz w:val="24"/>
          <w:szCs w:val="24"/>
        </w:rPr>
      </w:pPr>
      <w:r w:rsidRPr="00680026">
        <w:rPr>
          <w:rFonts w:ascii="Arial" w:hAnsi="Arial" w:cs="Arial"/>
          <w:color w:val="0070C0"/>
          <w:sz w:val="24"/>
          <w:szCs w:val="24"/>
        </w:rPr>
        <w:t>The Trust's Workforce Information Team have not undertaken any large scale data cleansing exercises since the last reporting period, however they do undertake further investigation</w:t>
      </w:r>
      <w:r w:rsidR="00590CF7" w:rsidRPr="00680026">
        <w:rPr>
          <w:rFonts w:ascii="Arial" w:hAnsi="Arial" w:cs="Arial"/>
          <w:color w:val="0070C0"/>
          <w:sz w:val="24"/>
          <w:szCs w:val="24"/>
        </w:rPr>
        <w:t>s</w:t>
      </w:r>
      <w:r w:rsidRPr="00680026">
        <w:rPr>
          <w:rFonts w:ascii="Arial" w:hAnsi="Arial" w:cs="Arial"/>
          <w:color w:val="0070C0"/>
          <w:sz w:val="24"/>
          <w:szCs w:val="24"/>
        </w:rPr>
        <w:t xml:space="preserve"> regarding individual employee records, where possible, to prevent any null entries on ESR.  If the Trust is provided with information regarding errors on ESR they are also investigated and rectified.</w:t>
      </w:r>
    </w:p>
    <w:p w:rsidR="001F7F0A" w:rsidRPr="00680026" w:rsidRDefault="001F7F0A" w:rsidP="001F7F0A">
      <w:pPr>
        <w:rPr>
          <w:rFonts w:ascii="Arial" w:hAnsi="Arial" w:cs="Arial"/>
          <w:sz w:val="24"/>
          <w:szCs w:val="24"/>
        </w:rPr>
      </w:pPr>
      <w:r w:rsidRPr="00680026">
        <w:rPr>
          <w:rFonts w:ascii="Arial" w:hAnsi="Arial" w:cs="Arial"/>
          <w:b/>
          <w:bCs/>
          <w:sz w:val="24"/>
          <w:szCs w:val="24"/>
        </w:rPr>
        <w:t xml:space="preserve">15. Are any steps planned during the current reporting period to improve the level of self reporting by ethnicity? </w:t>
      </w:r>
    </w:p>
    <w:p w:rsidR="001F7F0A" w:rsidRPr="00680026" w:rsidRDefault="00414581" w:rsidP="001F7F0A">
      <w:pPr>
        <w:rPr>
          <w:rFonts w:ascii="Arial" w:hAnsi="Arial" w:cs="Arial"/>
          <w:color w:val="0070C0"/>
          <w:sz w:val="24"/>
          <w:szCs w:val="24"/>
        </w:rPr>
      </w:pPr>
      <w:r w:rsidRPr="00680026">
        <w:rPr>
          <w:rFonts w:ascii="Arial" w:hAnsi="Arial" w:cs="Arial"/>
          <w:color w:val="0070C0"/>
          <w:sz w:val="24"/>
          <w:szCs w:val="24"/>
        </w:rPr>
        <w:t xml:space="preserve">In addition to the above, the Trust's Workforce Information Team </w:t>
      </w:r>
      <w:r w:rsidR="00680026" w:rsidRPr="00680026">
        <w:rPr>
          <w:rFonts w:ascii="Arial" w:hAnsi="Arial" w:cs="Arial"/>
          <w:color w:val="0070C0"/>
          <w:sz w:val="24"/>
          <w:szCs w:val="24"/>
        </w:rPr>
        <w:t xml:space="preserve">has been </w:t>
      </w:r>
      <w:r w:rsidR="00AF5248" w:rsidRPr="00680026">
        <w:rPr>
          <w:rFonts w:ascii="Arial" w:hAnsi="Arial" w:cs="Arial"/>
          <w:color w:val="0070C0"/>
          <w:sz w:val="24"/>
          <w:szCs w:val="24"/>
        </w:rPr>
        <w:t>implement</w:t>
      </w:r>
      <w:r w:rsidR="00680026" w:rsidRPr="00680026">
        <w:rPr>
          <w:rFonts w:ascii="Arial" w:hAnsi="Arial" w:cs="Arial"/>
          <w:color w:val="0070C0"/>
          <w:sz w:val="24"/>
          <w:szCs w:val="24"/>
        </w:rPr>
        <w:t>ing</w:t>
      </w:r>
      <w:r w:rsidR="00AF5248" w:rsidRPr="00680026">
        <w:rPr>
          <w:rFonts w:ascii="Arial" w:hAnsi="Arial" w:cs="Arial"/>
          <w:color w:val="0070C0"/>
          <w:sz w:val="24"/>
          <w:szCs w:val="24"/>
        </w:rPr>
        <w:t xml:space="preserve"> </w:t>
      </w:r>
      <w:r w:rsidRPr="00680026">
        <w:rPr>
          <w:rFonts w:ascii="Arial" w:hAnsi="Arial" w:cs="Arial"/>
          <w:color w:val="0070C0"/>
          <w:sz w:val="24"/>
          <w:szCs w:val="24"/>
        </w:rPr>
        <w:t xml:space="preserve">basic </w:t>
      </w:r>
      <w:r w:rsidR="00D523CF" w:rsidRPr="00680026">
        <w:rPr>
          <w:rFonts w:ascii="Arial" w:hAnsi="Arial" w:cs="Arial"/>
          <w:color w:val="0070C0"/>
          <w:sz w:val="24"/>
          <w:szCs w:val="24"/>
        </w:rPr>
        <w:t>self-service</w:t>
      </w:r>
      <w:r w:rsidRPr="00680026">
        <w:rPr>
          <w:rFonts w:ascii="Arial" w:hAnsi="Arial" w:cs="Arial"/>
          <w:color w:val="0070C0"/>
          <w:sz w:val="24"/>
          <w:szCs w:val="24"/>
        </w:rPr>
        <w:t xml:space="preserve"> </w:t>
      </w:r>
      <w:r w:rsidR="00AF5248" w:rsidRPr="00680026">
        <w:rPr>
          <w:rFonts w:ascii="Arial" w:hAnsi="Arial" w:cs="Arial"/>
          <w:color w:val="0070C0"/>
          <w:sz w:val="24"/>
          <w:szCs w:val="24"/>
        </w:rPr>
        <w:t>across the organisation</w:t>
      </w:r>
      <w:r w:rsidR="00680026" w:rsidRPr="00680026">
        <w:rPr>
          <w:rFonts w:ascii="Arial" w:hAnsi="Arial" w:cs="Arial"/>
          <w:color w:val="0070C0"/>
          <w:sz w:val="24"/>
          <w:szCs w:val="24"/>
        </w:rPr>
        <w:t xml:space="preserve">, which </w:t>
      </w:r>
      <w:r w:rsidR="000F2D06" w:rsidRPr="00680026">
        <w:rPr>
          <w:rFonts w:ascii="Arial" w:hAnsi="Arial" w:cs="Arial"/>
          <w:color w:val="0070C0"/>
          <w:sz w:val="24"/>
          <w:szCs w:val="24"/>
        </w:rPr>
        <w:t>enable</w:t>
      </w:r>
      <w:r w:rsidR="00680026" w:rsidRPr="00680026">
        <w:rPr>
          <w:rFonts w:ascii="Arial" w:hAnsi="Arial" w:cs="Arial"/>
          <w:color w:val="0070C0"/>
          <w:sz w:val="24"/>
          <w:szCs w:val="24"/>
        </w:rPr>
        <w:t>s</w:t>
      </w:r>
      <w:r w:rsidR="000F2D06" w:rsidRPr="00680026">
        <w:rPr>
          <w:rFonts w:ascii="Arial" w:hAnsi="Arial" w:cs="Arial"/>
          <w:color w:val="0070C0"/>
          <w:sz w:val="24"/>
          <w:szCs w:val="24"/>
        </w:rPr>
        <w:t xml:space="preserve"> </w:t>
      </w:r>
      <w:r w:rsidRPr="00680026">
        <w:rPr>
          <w:rFonts w:ascii="Arial" w:hAnsi="Arial" w:cs="Arial"/>
          <w:color w:val="0070C0"/>
          <w:sz w:val="24"/>
          <w:szCs w:val="24"/>
        </w:rPr>
        <w:t>staff to update their own personal details on ESR</w:t>
      </w:r>
      <w:r w:rsidR="00D523CF" w:rsidRPr="00680026">
        <w:rPr>
          <w:rFonts w:ascii="Arial" w:hAnsi="Arial" w:cs="Arial"/>
          <w:color w:val="0070C0"/>
          <w:sz w:val="24"/>
          <w:szCs w:val="24"/>
        </w:rPr>
        <w:t xml:space="preserve">.  </w:t>
      </w:r>
      <w:r w:rsidR="00680026" w:rsidRPr="00680026">
        <w:rPr>
          <w:rFonts w:ascii="Arial" w:hAnsi="Arial" w:cs="Arial"/>
          <w:color w:val="0070C0"/>
          <w:sz w:val="24"/>
          <w:szCs w:val="24"/>
        </w:rPr>
        <w:t xml:space="preserve">Staff will be able to </w:t>
      </w:r>
      <w:r w:rsidR="00D523CF" w:rsidRPr="00680026">
        <w:rPr>
          <w:rFonts w:ascii="Arial" w:hAnsi="Arial" w:cs="Arial"/>
          <w:color w:val="0070C0"/>
          <w:sz w:val="24"/>
          <w:szCs w:val="24"/>
        </w:rPr>
        <w:t xml:space="preserve">view their ethnicity and we </w:t>
      </w:r>
      <w:r w:rsidR="00747969" w:rsidRPr="00680026">
        <w:rPr>
          <w:rFonts w:ascii="Arial" w:hAnsi="Arial" w:cs="Arial"/>
          <w:color w:val="0070C0"/>
          <w:sz w:val="24"/>
          <w:szCs w:val="24"/>
        </w:rPr>
        <w:t xml:space="preserve">will be encouraging staff to be </w:t>
      </w:r>
      <w:r w:rsidR="00D523CF" w:rsidRPr="00680026">
        <w:rPr>
          <w:rFonts w:ascii="Arial" w:hAnsi="Arial" w:cs="Arial"/>
          <w:color w:val="0070C0"/>
          <w:sz w:val="24"/>
          <w:szCs w:val="24"/>
        </w:rPr>
        <w:t>proactive in contacting Workforce Information to organise for</w:t>
      </w:r>
      <w:r w:rsidR="00747969" w:rsidRPr="00680026">
        <w:rPr>
          <w:rFonts w:ascii="Arial" w:hAnsi="Arial" w:cs="Arial"/>
          <w:color w:val="0070C0"/>
          <w:sz w:val="24"/>
          <w:szCs w:val="24"/>
        </w:rPr>
        <w:t xml:space="preserve"> the correct data to be entered if their record is showing a null or not stated entry.</w:t>
      </w:r>
      <w:r w:rsidR="00A10E77" w:rsidRPr="00680026">
        <w:rPr>
          <w:rFonts w:ascii="Arial" w:hAnsi="Arial" w:cs="Arial"/>
          <w:color w:val="0070C0"/>
          <w:sz w:val="24"/>
          <w:szCs w:val="24"/>
        </w:rPr>
        <w:t xml:space="preserve">  Self-service is currently available to a limited number of staff</w:t>
      </w:r>
      <w:r w:rsidR="00680026" w:rsidRPr="00680026">
        <w:rPr>
          <w:rFonts w:ascii="Arial" w:hAnsi="Arial" w:cs="Arial"/>
          <w:color w:val="0070C0"/>
          <w:sz w:val="24"/>
          <w:szCs w:val="24"/>
        </w:rPr>
        <w:t>, with further rollouts planned</w:t>
      </w:r>
      <w:r w:rsidR="00A10E77" w:rsidRPr="00680026">
        <w:rPr>
          <w:rFonts w:ascii="Arial" w:hAnsi="Arial" w:cs="Arial"/>
          <w:color w:val="0070C0"/>
          <w:sz w:val="24"/>
          <w:szCs w:val="24"/>
        </w:rPr>
        <w:t>.</w:t>
      </w:r>
    </w:p>
    <w:p w:rsidR="00680026" w:rsidRPr="00680026" w:rsidRDefault="00680026" w:rsidP="001F7F0A">
      <w:pPr>
        <w:rPr>
          <w:rFonts w:ascii="Arial" w:hAnsi="Arial" w:cs="Arial"/>
          <w:b/>
          <w:bCs/>
          <w:sz w:val="24"/>
          <w:szCs w:val="24"/>
        </w:rPr>
      </w:pPr>
    </w:p>
    <w:p w:rsidR="001F7F0A" w:rsidRPr="00680026" w:rsidRDefault="001F7F0A" w:rsidP="001F7F0A">
      <w:pPr>
        <w:rPr>
          <w:rFonts w:ascii="Arial" w:hAnsi="Arial" w:cs="Arial"/>
          <w:b/>
          <w:sz w:val="24"/>
          <w:szCs w:val="24"/>
        </w:rPr>
      </w:pPr>
      <w:r w:rsidRPr="00680026">
        <w:rPr>
          <w:rFonts w:ascii="Arial" w:hAnsi="Arial" w:cs="Arial"/>
          <w:b/>
          <w:bCs/>
          <w:sz w:val="24"/>
          <w:szCs w:val="24"/>
        </w:rPr>
        <w:t xml:space="preserve">Workforce data </w:t>
      </w:r>
    </w:p>
    <w:p w:rsidR="001F7F0A" w:rsidRPr="00680026" w:rsidRDefault="001F7F0A" w:rsidP="001F7F0A">
      <w:pPr>
        <w:rPr>
          <w:rFonts w:ascii="Arial" w:hAnsi="Arial" w:cs="Arial"/>
          <w:sz w:val="24"/>
          <w:szCs w:val="24"/>
        </w:rPr>
      </w:pPr>
      <w:r w:rsidRPr="00680026">
        <w:rPr>
          <w:rFonts w:ascii="Arial" w:hAnsi="Arial" w:cs="Arial"/>
          <w:b/>
          <w:bCs/>
          <w:sz w:val="24"/>
          <w:szCs w:val="24"/>
        </w:rPr>
        <w:t xml:space="preserve">16. What period does the organisation’s workforce data refer to? </w:t>
      </w:r>
    </w:p>
    <w:p w:rsidR="001F7F0A" w:rsidRPr="00680026" w:rsidRDefault="00032D98" w:rsidP="001F7F0A">
      <w:pPr>
        <w:rPr>
          <w:rFonts w:ascii="Arial" w:hAnsi="Arial" w:cs="Arial"/>
          <w:color w:val="0070C0"/>
          <w:sz w:val="24"/>
          <w:szCs w:val="24"/>
        </w:rPr>
      </w:pPr>
      <w:r w:rsidRPr="00680026">
        <w:rPr>
          <w:rFonts w:ascii="Arial" w:hAnsi="Arial" w:cs="Arial"/>
          <w:color w:val="0070C0"/>
          <w:sz w:val="24"/>
          <w:szCs w:val="24"/>
        </w:rPr>
        <w:t>1 April 201</w:t>
      </w:r>
      <w:r w:rsidR="00680026" w:rsidRPr="00680026">
        <w:rPr>
          <w:rFonts w:ascii="Arial" w:hAnsi="Arial" w:cs="Arial"/>
          <w:color w:val="0070C0"/>
          <w:sz w:val="24"/>
          <w:szCs w:val="24"/>
        </w:rPr>
        <w:t>9</w:t>
      </w:r>
      <w:r w:rsidRPr="00680026">
        <w:rPr>
          <w:rFonts w:ascii="Arial" w:hAnsi="Arial" w:cs="Arial"/>
          <w:color w:val="0070C0"/>
          <w:sz w:val="24"/>
          <w:szCs w:val="24"/>
        </w:rPr>
        <w:t xml:space="preserve"> to 31 March 20</w:t>
      </w:r>
      <w:r w:rsidR="00680026" w:rsidRPr="00680026">
        <w:rPr>
          <w:rFonts w:ascii="Arial" w:hAnsi="Arial" w:cs="Arial"/>
          <w:color w:val="0070C0"/>
          <w:sz w:val="24"/>
          <w:szCs w:val="24"/>
        </w:rPr>
        <w:t>20</w:t>
      </w:r>
    </w:p>
    <w:p w:rsidR="00EA487B" w:rsidRPr="003251A9" w:rsidRDefault="00EA487B" w:rsidP="001F7F0A">
      <w:pPr>
        <w:rPr>
          <w:rFonts w:ascii="Arial" w:hAnsi="Arial" w:cs="Arial"/>
          <w:color w:val="0070C0"/>
          <w:sz w:val="24"/>
          <w:szCs w:val="24"/>
          <w:highlight w:val="yellow"/>
        </w:rPr>
      </w:pPr>
    </w:p>
    <w:p w:rsidR="001F7F0A" w:rsidRPr="00C07D19" w:rsidRDefault="00680026" w:rsidP="001F7F0A">
      <w:pPr>
        <w:rPr>
          <w:rFonts w:ascii="Arial" w:hAnsi="Arial" w:cs="Arial"/>
          <w:sz w:val="24"/>
          <w:szCs w:val="24"/>
        </w:rPr>
      </w:pPr>
      <w:r w:rsidRPr="00C07D19">
        <w:rPr>
          <w:rFonts w:ascii="Arial" w:hAnsi="Arial" w:cs="Arial"/>
          <w:b/>
          <w:bCs/>
          <w:sz w:val="24"/>
          <w:szCs w:val="24"/>
        </w:rPr>
        <w:lastRenderedPageBreak/>
        <w:t>W</w:t>
      </w:r>
      <w:r w:rsidR="001F7F0A" w:rsidRPr="00C07D19">
        <w:rPr>
          <w:rFonts w:ascii="Arial" w:hAnsi="Arial" w:cs="Arial"/>
          <w:b/>
          <w:bCs/>
          <w:sz w:val="24"/>
          <w:szCs w:val="24"/>
        </w:rPr>
        <w:t xml:space="preserve">orkforce Race Equality Indicators </w:t>
      </w:r>
    </w:p>
    <w:p w:rsidR="001F7F0A" w:rsidRPr="00C07D19" w:rsidRDefault="001F7F0A" w:rsidP="001F7F0A">
      <w:pPr>
        <w:rPr>
          <w:rFonts w:ascii="Arial" w:hAnsi="Arial" w:cs="Arial"/>
          <w:sz w:val="24"/>
          <w:szCs w:val="24"/>
        </w:rPr>
      </w:pPr>
      <w:r w:rsidRPr="00C07D19">
        <w:rPr>
          <w:rFonts w:ascii="Arial" w:hAnsi="Arial" w:cs="Arial"/>
          <w:b/>
          <w:bCs/>
          <w:sz w:val="24"/>
          <w:szCs w:val="24"/>
        </w:rPr>
        <w:t xml:space="preserve">For each of these workforce indicators, compare the data for White and BME staff </w:t>
      </w:r>
    </w:p>
    <w:p w:rsidR="001F7F0A" w:rsidRPr="00C07D19" w:rsidRDefault="001F7F0A" w:rsidP="001F7F0A">
      <w:pPr>
        <w:rPr>
          <w:rFonts w:ascii="Arial" w:hAnsi="Arial" w:cs="Arial"/>
          <w:b/>
          <w:bCs/>
          <w:sz w:val="24"/>
          <w:szCs w:val="24"/>
        </w:rPr>
      </w:pPr>
      <w:r w:rsidRPr="00C07D19">
        <w:rPr>
          <w:rFonts w:ascii="Arial" w:hAnsi="Arial" w:cs="Arial"/>
          <w:b/>
          <w:bCs/>
          <w:sz w:val="24"/>
          <w:szCs w:val="24"/>
        </w:rPr>
        <w:t xml:space="preserve">17. Percentage of staff in each of the AfC Bands 1-9 and VSM (including executive Board members) compared with the percentage of staff in the overall workforce. Organisations should undertake this calculation separately for non-clinical and for clinical staff </w:t>
      </w:r>
    </w:p>
    <w:p w:rsidR="001F7F0A" w:rsidRPr="00C07D19" w:rsidRDefault="001F7F0A" w:rsidP="001F7F0A">
      <w:pPr>
        <w:rPr>
          <w:rFonts w:ascii="Arial" w:hAnsi="Arial" w:cs="Arial"/>
          <w:sz w:val="24"/>
          <w:szCs w:val="24"/>
        </w:rPr>
      </w:pPr>
      <w:r w:rsidRPr="00C07D19">
        <w:rPr>
          <w:rFonts w:ascii="Arial" w:hAnsi="Arial" w:cs="Arial"/>
          <w:sz w:val="24"/>
          <w:szCs w:val="24"/>
        </w:rPr>
        <w:t xml:space="preserve">Data for reporting year: </w:t>
      </w:r>
    </w:p>
    <w:tbl>
      <w:tblPr>
        <w:tblW w:w="1700" w:type="dxa"/>
        <w:tblInd w:w="93" w:type="dxa"/>
        <w:tblLook w:val="04A0" w:firstRow="1" w:lastRow="0" w:firstColumn="1" w:lastColumn="0" w:noHBand="0" w:noVBand="1"/>
      </w:tblPr>
      <w:tblGrid>
        <w:gridCol w:w="9242"/>
      </w:tblGrid>
      <w:tr w:rsidR="00680026" w:rsidRPr="00680026" w:rsidTr="00680026">
        <w:trPr>
          <w:trHeight w:val="300"/>
        </w:trPr>
        <w:tc>
          <w:tcPr>
            <w:tcW w:w="1700" w:type="dxa"/>
            <w:tcBorders>
              <w:top w:val="nil"/>
              <w:left w:val="nil"/>
              <w:bottom w:val="nil"/>
              <w:right w:val="nil"/>
            </w:tcBorders>
            <w:shd w:val="clear" w:color="auto" w:fill="auto"/>
            <w:noWrap/>
            <w:vAlign w:val="bottom"/>
          </w:tcPr>
          <w:p w:rsidR="00680026" w:rsidRPr="00680026" w:rsidRDefault="00680026" w:rsidP="00680026">
            <w:pPr>
              <w:rPr>
                <w:rFonts w:ascii="Arial" w:hAnsi="Arial" w:cs="Arial"/>
                <w:color w:val="0070C0"/>
                <w:sz w:val="24"/>
                <w:szCs w:val="24"/>
              </w:rPr>
            </w:pPr>
            <w:r w:rsidRPr="00680026">
              <w:rPr>
                <w:rFonts w:ascii="Arial" w:hAnsi="Arial" w:cs="Arial"/>
                <w:color w:val="0070C0"/>
                <w:sz w:val="24"/>
                <w:szCs w:val="24"/>
              </w:rPr>
              <w:t>Overall Workforce (</w:t>
            </w:r>
            <w:r>
              <w:rPr>
                <w:rFonts w:ascii="Arial" w:hAnsi="Arial" w:cs="Arial"/>
                <w:color w:val="0070C0"/>
                <w:sz w:val="24"/>
                <w:szCs w:val="24"/>
              </w:rPr>
              <w:t>5457</w:t>
            </w:r>
            <w:r w:rsidRPr="00680026">
              <w:rPr>
                <w:rFonts w:ascii="Arial" w:hAnsi="Arial" w:cs="Arial"/>
                <w:color w:val="0070C0"/>
                <w:sz w:val="24"/>
                <w:szCs w:val="24"/>
              </w:rPr>
              <w:t xml:space="preserve">) </w:t>
            </w:r>
          </w:p>
          <w:p w:rsidR="00680026" w:rsidRDefault="00680026" w:rsidP="00680026">
            <w:pPr>
              <w:pStyle w:val="ListParagraph"/>
              <w:numPr>
                <w:ilvl w:val="0"/>
                <w:numId w:val="1"/>
              </w:numPr>
              <w:rPr>
                <w:rFonts w:ascii="Arial" w:hAnsi="Arial" w:cs="Arial"/>
                <w:color w:val="0070C0"/>
                <w:sz w:val="24"/>
                <w:szCs w:val="24"/>
              </w:rPr>
            </w:pPr>
            <w:r w:rsidRPr="00680026">
              <w:rPr>
                <w:rFonts w:ascii="Arial" w:hAnsi="Arial" w:cs="Arial"/>
                <w:color w:val="0070C0"/>
                <w:sz w:val="24"/>
                <w:szCs w:val="24"/>
              </w:rPr>
              <w:t xml:space="preserve">White </w:t>
            </w:r>
            <w:r>
              <w:rPr>
                <w:rFonts w:ascii="Arial" w:hAnsi="Arial" w:cs="Arial"/>
                <w:color w:val="0070C0"/>
                <w:sz w:val="24"/>
                <w:szCs w:val="24"/>
              </w:rPr>
              <w:t>71.69%</w:t>
            </w:r>
            <w:r w:rsidRPr="00680026">
              <w:rPr>
                <w:rFonts w:ascii="Arial" w:hAnsi="Arial" w:cs="Arial"/>
                <w:color w:val="0070C0"/>
                <w:sz w:val="24"/>
                <w:szCs w:val="24"/>
              </w:rPr>
              <w:t xml:space="preserve"> (</w:t>
            </w:r>
            <w:r>
              <w:rPr>
                <w:rFonts w:ascii="Arial" w:hAnsi="Arial" w:cs="Arial"/>
                <w:color w:val="0070C0"/>
                <w:sz w:val="24"/>
                <w:szCs w:val="24"/>
              </w:rPr>
              <w:t>3912</w:t>
            </w:r>
            <w:r w:rsidRPr="00680026">
              <w:rPr>
                <w:rFonts w:ascii="Arial" w:hAnsi="Arial" w:cs="Arial"/>
                <w:color w:val="0070C0"/>
                <w:sz w:val="24"/>
                <w:szCs w:val="24"/>
              </w:rPr>
              <w:t>)</w:t>
            </w:r>
          </w:p>
          <w:p w:rsidR="00680026" w:rsidRPr="00680026" w:rsidRDefault="00680026" w:rsidP="00680026">
            <w:pPr>
              <w:pStyle w:val="ListParagraph"/>
              <w:numPr>
                <w:ilvl w:val="0"/>
                <w:numId w:val="1"/>
              </w:numPr>
              <w:rPr>
                <w:rFonts w:ascii="Arial" w:hAnsi="Arial" w:cs="Arial"/>
                <w:color w:val="0070C0"/>
                <w:sz w:val="24"/>
                <w:szCs w:val="24"/>
              </w:rPr>
            </w:pPr>
            <w:r w:rsidRPr="00680026">
              <w:rPr>
                <w:rFonts w:ascii="Arial" w:hAnsi="Arial" w:cs="Arial"/>
                <w:color w:val="0070C0"/>
                <w:sz w:val="24"/>
                <w:szCs w:val="24"/>
              </w:rPr>
              <w:t xml:space="preserve">BME </w:t>
            </w:r>
            <w:r w:rsidR="00855C4D">
              <w:rPr>
                <w:rFonts w:ascii="Arial" w:hAnsi="Arial" w:cs="Arial"/>
                <w:color w:val="0070C0"/>
                <w:sz w:val="24"/>
                <w:szCs w:val="24"/>
              </w:rPr>
              <w:t>24.43</w:t>
            </w:r>
            <w:r w:rsidRPr="00680026">
              <w:rPr>
                <w:rFonts w:ascii="Arial" w:hAnsi="Arial" w:cs="Arial"/>
                <w:color w:val="0070C0"/>
                <w:sz w:val="24"/>
                <w:szCs w:val="24"/>
              </w:rPr>
              <w:t>% (1</w:t>
            </w:r>
            <w:r w:rsidR="00855C4D">
              <w:rPr>
                <w:rFonts w:ascii="Arial" w:hAnsi="Arial" w:cs="Arial"/>
                <w:color w:val="0070C0"/>
                <w:sz w:val="24"/>
                <w:szCs w:val="24"/>
              </w:rPr>
              <w:t>333)</w:t>
            </w:r>
          </w:p>
          <w:p w:rsidR="00680026" w:rsidRPr="00680026" w:rsidRDefault="00680026" w:rsidP="00680026">
            <w:pPr>
              <w:pStyle w:val="ListParagraph"/>
              <w:numPr>
                <w:ilvl w:val="0"/>
                <w:numId w:val="1"/>
              </w:numPr>
              <w:rPr>
                <w:rFonts w:ascii="Arial" w:hAnsi="Arial" w:cs="Arial"/>
                <w:color w:val="0070C0"/>
                <w:sz w:val="24"/>
                <w:szCs w:val="24"/>
              </w:rPr>
            </w:pPr>
            <w:r w:rsidRPr="00680026">
              <w:rPr>
                <w:rFonts w:ascii="Arial" w:hAnsi="Arial" w:cs="Arial"/>
                <w:color w:val="0070C0"/>
                <w:sz w:val="24"/>
                <w:szCs w:val="24"/>
              </w:rPr>
              <w:t xml:space="preserve">Not Stated </w:t>
            </w:r>
            <w:r w:rsidR="00855C4D">
              <w:rPr>
                <w:rFonts w:ascii="Arial" w:hAnsi="Arial" w:cs="Arial"/>
                <w:color w:val="0070C0"/>
                <w:sz w:val="24"/>
                <w:szCs w:val="24"/>
              </w:rPr>
              <w:t>3.88</w:t>
            </w:r>
            <w:r w:rsidRPr="00680026">
              <w:rPr>
                <w:rFonts w:ascii="Arial" w:hAnsi="Arial" w:cs="Arial"/>
                <w:color w:val="0070C0"/>
                <w:sz w:val="24"/>
                <w:szCs w:val="24"/>
              </w:rPr>
              <w:t>% (2</w:t>
            </w:r>
            <w:r w:rsidR="00855C4D">
              <w:rPr>
                <w:rFonts w:ascii="Arial" w:hAnsi="Arial" w:cs="Arial"/>
                <w:color w:val="0070C0"/>
                <w:sz w:val="24"/>
                <w:szCs w:val="24"/>
              </w:rPr>
              <w:t>12</w:t>
            </w:r>
            <w:r w:rsidRPr="00680026">
              <w:rPr>
                <w:rFonts w:ascii="Arial" w:hAnsi="Arial" w:cs="Arial"/>
                <w:color w:val="0070C0"/>
                <w:sz w:val="24"/>
                <w:szCs w:val="24"/>
              </w:rPr>
              <w:t>)</w:t>
            </w:r>
          </w:p>
          <w:tbl>
            <w:tblPr>
              <w:tblStyle w:val="TableGrid"/>
              <w:tblW w:w="8303" w:type="dxa"/>
              <w:jc w:val="center"/>
              <w:tblLook w:val="04A0" w:firstRow="1" w:lastRow="0" w:firstColumn="1" w:lastColumn="0" w:noHBand="0" w:noVBand="1"/>
            </w:tblPr>
            <w:tblGrid>
              <w:gridCol w:w="1273"/>
              <w:gridCol w:w="895"/>
              <w:gridCol w:w="895"/>
              <w:gridCol w:w="828"/>
              <w:gridCol w:w="895"/>
              <w:gridCol w:w="784"/>
              <w:gridCol w:w="828"/>
              <w:gridCol w:w="895"/>
              <w:gridCol w:w="895"/>
              <w:gridCol w:w="828"/>
            </w:tblGrid>
            <w:tr w:rsidR="00680026" w:rsidRPr="00680026" w:rsidTr="00680026">
              <w:trPr>
                <w:jc w:val="center"/>
              </w:trPr>
              <w:tc>
                <w:tcPr>
                  <w:tcW w:w="1081" w:type="dxa"/>
                </w:tcPr>
                <w:p w:rsidR="00680026" w:rsidRPr="00680026" w:rsidRDefault="00680026" w:rsidP="00680026">
                  <w:pPr>
                    <w:jc w:val="center"/>
                    <w:rPr>
                      <w:rFonts w:ascii="Arial" w:hAnsi="Arial" w:cs="Arial"/>
                      <w:b/>
                      <w:color w:val="0070C0"/>
                      <w:sz w:val="20"/>
                      <w:szCs w:val="20"/>
                    </w:rPr>
                  </w:pPr>
                </w:p>
              </w:tc>
              <w:tc>
                <w:tcPr>
                  <w:tcW w:w="2330" w:type="dxa"/>
                  <w:gridSpan w:val="3"/>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Overall Workforce</w:t>
                  </w:r>
                </w:p>
                <w:p w:rsidR="00680026" w:rsidRPr="00680026" w:rsidRDefault="00855C4D" w:rsidP="00680026">
                  <w:pPr>
                    <w:jc w:val="center"/>
                    <w:rPr>
                      <w:rFonts w:ascii="Arial" w:hAnsi="Arial" w:cs="Arial"/>
                      <w:b/>
                      <w:color w:val="0070C0"/>
                      <w:sz w:val="20"/>
                      <w:szCs w:val="20"/>
                    </w:rPr>
                  </w:pPr>
                  <w:r>
                    <w:rPr>
                      <w:rFonts w:ascii="Arial" w:hAnsi="Arial" w:cs="Arial"/>
                      <w:b/>
                      <w:color w:val="0070C0"/>
                      <w:sz w:val="20"/>
                      <w:szCs w:val="20"/>
                    </w:rPr>
                    <w:t>5457</w:t>
                  </w:r>
                  <w:r w:rsidR="00680026" w:rsidRPr="00680026">
                    <w:rPr>
                      <w:rFonts w:ascii="Arial" w:hAnsi="Arial" w:cs="Arial"/>
                      <w:b/>
                      <w:color w:val="0070C0"/>
                      <w:sz w:val="20"/>
                      <w:szCs w:val="20"/>
                    </w:rPr>
                    <w:t xml:space="preserve"> staff</w:t>
                  </w:r>
                </w:p>
              </w:tc>
              <w:tc>
                <w:tcPr>
                  <w:tcW w:w="2422" w:type="dxa"/>
                  <w:gridSpan w:val="3"/>
                </w:tcPr>
                <w:p w:rsidR="00680026" w:rsidRPr="00193699" w:rsidRDefault="00680026" w:rsidP="00680026">
                  <w:pPr>
                    <w:jc w:val="center"/>
                    <w:rPr>
                      <w:rFonts w:ascii="Arial" w:hAnsi="Arial" w:cs="Arial"/>
                      <w:b/>
                      <w:color w:val="0070C0"/>
                      <w:sz w:val="20"/>
                      <w:szCs w:val="20"/>
                    </w:rPr>
                  </w:pPr>
                  <w:r w:rsidRPr="00193699">
                    <w:rPr>
                      <w:rFonts w:ascii="Arial" w:hAnsi="Arial" w:cs="Arial"/>
                      <w:b/>
                      <w:color w:val="0070C0"/>
                      <w:sz w:val="20"/>
                      <w:szCs w:val="20"/>
                    </w:rPr>
                    <w:t>Non-Clinical Workforce</w:t>
                  </w:r>
                </w:p>
                <w:p w:rsidR="00680026" w:rsidRPr="00193699" w:rsidRDefault="00680026" w:rsidP="00680026">
                  <w:pPr>
                    <w:jc w:val="center"/>
                    <w:rPr>
                      <w:rFonts w:ascii="Arial" w:hAnsi="Arial" w:cs="Arial"/>
                      <w:b/>
                      <w:color w:val="0070C0"/>
                      <w:sz w:val="20"/>
                      <w:szCs w:val="20"/>
                    </w:rPr>
                  </w:pPr>
                  <w:r w:rsidRPr="00193699">
                    <w:rPr>
                      <w:rFonts w:ascii="Arial" w:hAnsi="Arial" w:cs="Arial"/>
                      <w:b/>
                      <w:color w:val="0070C0"/>
                      <w:sz w:val="20"/>
                      <w:szCs w:val="20"/>
                    </w:rPr>
                    <w:t>3</w:t>
                  </w:r>
                  <w:r w:rsidR="00193699" w:rsidRPr="00193699">
                    <w:rPr>
                      <w:rFonts w:ascii="Arial" w:hAnsi="Arial" w:cs="Arial"/>
                      <w:b/>
                      <w:color w:val="0070C0"/>
                      <w:sz w:val="20"/>
                      <w:szCs w:val="20"/>
                    </w:rPr>
                    <w:t>1</w:t>
                  </w:r>
                  <w:r w:rsidRPr="00193699">
                    <w:rPr>
                      <w:rFonts w:ascii="Arial" w:hAnsi="Arial" w:cs="Arial"/>
                      <w:b/>
                      <w:color w:val="0070C0"/>
                      <w:sz w:val="20"/>
                      <w:szCs w:val="20"/>
                    </w:rPr>
                    <w:t>.</w:t>
                  </w:r>
                  <w:r w:rsidR="00193699" w:rsidRPr="00193699">
                    <w:rPr>
                      <w:rFonts w:ascii="Arial" w:hAnsi="Arial" w:cs="Arial"/>
                      <w:b/>
                      <w:color w:val="0070C0"/>
                      <w:sz w:val="20"/>
                      <w:szCs w:val="20"/>
                    </w:rPr>
                    <w:t>3</w:t>
                  </w:r>
                  <w:r w:rsidRPr="00193699">
                    <w:rPr>
                      <w:rFonts w:ascii="Arial" w:hAnsi="Arial" w:cs="Arial"/>
                      <w:b/>
                      <w:color w:val="0070C0"/>
                      <w:sz w:val="20"/>
                      <w:szCs w:val="20"/>
                    </w:rPr>
                    <w:t>9% (</w:t>
                  </w:r>
                  <w:r w:rsidR="00855C4D" w:rsidRPr="00193699">
                    <w:rPr>
                      <w:rFonts w:ascii="Arial" w:hAnsi="Arial" w:cs="Arial"/>
                      <w:b/>
                      <w:color w:val="0070C0"/>
                      <w:sz w:val="20"/>
                      <w:szCs w:val="20"/>
                    </w:rPr>
                    <w:t>1713</w:t>
                  </w:r>
                  <w:r w:rsidRPr="00193699">
                    <w:rPr>
                      <w:rFonts w:ascii="Arial" w:hAnsi="Arial" w:cs="Arial"/>
                      <w:b/>
                      <w:color w:val="0070C0"/>
                      <w:sz w:val="20"/>
                      <w:szCs w:val="20"/>
                    </w:rPr>
                    <w:t xml:space="preserve">) </w:t>
                  </w:r>
                </w:p>
                <w:p w:rsidR="00680026" w:rsidRPr="00855C4D" w:rsidRDefault="00680026" w:rsidP="00680026">
                  <w:pPr>
                    <w:jc w:val="center"/>
                    <w:rPr>
                      <w:rFonts w:ascii="Arial" w:hAnsi="Arial" w:cs="Arial"/>
                      <w:b/>
                      <w:color w:val="0070C0"/>
                      <w:sz w:val="20"/>
                      <w:szCs w:val="20"/>
                      <w:highlight w:val="yellow"/>
                    </w:rPr>
                  </w:pPr>
                  <w:r w:rsidRPr="00193699">
                    <w:rPr>
                      <w:rFonts w:ascii="Arial" w:hAnsi="Arial" w:cs="Arial"/>
                      <w:b/>
                      <w:color w:val="0070C0"/>
                      <w:sz w:val="20"/>
                      <w:szCs w:val="20"/>
                    </w:rPr>
                    <w:t>of Trust Workforce</w:t>
                  </w:r>
                </w:p>
              </w:tc>
              <w:tc>
                <w:tcPr>
                  <w:tcW w:w="2470" w:type="dxa"/>
                  <w:gridSpan w:val="3"/>
                </w:tcPr>
                <w:p w:rsidR="00680026" w:rsidRPr="00D36CC2" w:rsidRDefault="00680026" w:rsidP="00680026">
                  <w:pPr>
                    <w:jc w:val="center"/>
                    <w:rPr>
                      <w:rFonts w:ascii="Arial" w:hAnsi="Arial" w:cs="Arial"/>
                      <w:b/>
                      <w:color w:val="0070C0"/>
                      <w:sz w:val="20"/>
                      <w:szCs w:val="20"/>
                    </w:rPr>
                  </w:pPr>
                  <w:r w:rsidRPr="00D36CC2">
                    <w:rPr>
                      <w:rFonts w:ascii="Arial" w:hAnsi="Arial" w:cs="Arial"/>
                      <w:b/>
                      <w:color w:val="0070C0"/>
                      <w:sz w:val="20"/>
                      <w:szCs w:val="20"/>
                    </w:rPr>
                    <w:t>Clinical Workforce</w:t>
                  </w:r>
                </w:p>
                <w:p w:rsidR="00680026" w:rsidRPr="00D36CC2" w:rsidRDefault="00680026" w:rsidP="00680026">
                  <w:pPr>
                    <w:jc w:val="center"/>
                    <w:rPr>
                      <w:rFonts w:ascii="Arial" w:hAnsi="Arial" w:cs="Arial"/>
                      <w:b/>
                      <w:color w:val="0070C0"/>
                      <w:sz w:val="20"/>
                      <w:szCs w:val="20"/>
                    </w:rPr>
                  </w:pPr>
                  <w:r w:rsidRPr="00D36CC2">
                    <w:rPr>
                      <w:rFonts w:ascii="Arial" w:hAnsi="Arial" w:cs="Arial"/>
                      <w:b/>
                      <w:color w:val="0070C0"/>
                      <w:sz w:val="20"/>
                      <w:szCs w:val="20"/>
                    </w:rPr>
                    <w:t>6</w:t>
                  </w:r>
                  <w:r w:rsidR="00193699" w:rsidRPr="00D36CC2">
                    <w:rPr>
                      <w:rFonts w:ascii="Arial" w:hAnsi="Arial" w:cs="Arial"/>
                      <w:b/>
                      <w:color w:val="0070C0"/>
                      <w:sz w:val="20"/>
                      <w:szCs w:val="20"/>
                    </w:rPr>
                    <w:t>8</w:t>
                  </w:r>
                  <w:r w:rsidRPr="00D36CC2">
                    <w:rPr>
                      <w:rFonts w:ascii="Arial" w:hAnsi="Arial" w:cs="Arial"/>
                      <w:b/>
                      <w:color w:val="0070C0"/>
                      <w:sz w:val="20"/>
                      <w:szCs w:val="20"/>
                    </w:rPr>
                    <w:t>.</w:t>
                  </w:r>
                  <w:r w:rsidR="00193699" w:rsidRPr="00D36CC2">
                    <w:rPr>
                      <w:rFonts w:ascii="Arial" w:hAnsi="Arial" w:cs="Arial"/>
                      <w:b/>
                      <w:color w:val="0070C0"/>
                      <w:sz w:val="20"/>
                      <w:szCs w:val="20"/>
                    </w:rPr>
                    <w:t>61</w:t>
                  </w:r>
                  <w:r w:rsidRPr="00D36CC2">
                    <w:rPr>
                      <w:rFonts w:ascii="Arial" w:hAnsi="Arial" w:cs="Arial"/>
                      <w:b/>
                      <w:color w:val="0070C0"/>
                      <w:sz w:val="20"/>
                      <w:szCs w:val="20"/>
                    </w:rPr>
                    <w:t>% (</w:t>
                  </w:r>
                  <w:r w:rsidR="00193699" w:rsidRPr="00D36CC2">
                    <w:rPr>
                      <w:rFonts w:ascii="Arial" w:hAnsi="Arial" w:cs="Arial"/>
                      <w:b/>
                      <w:color w:val="0070C0"/>
                      <w:sz w:val="20"/>
                      <w:szCs w:val="20"/>
                    </w:rPr>
                    <w:t>3744</w:t>
                  </w:r>
                  <w:r w:rsidRPr="00D36CC2">
                    <w:rPr>
                      <w:rFonts w:ascii="Arial" w:hAnsi="Arial" w:cs="Arial"/>
                      <w:b/>
                      <w:color w:val="0070C0"/>
                      <w:sz w:val="20"/>
                      <w:szCs w:val="20"/>
                    </w:rPr>
                    <w:t xml:space="preserve">) </w:t>
                  </w:r>
                </w:p>
                <w:p w:rsidR="00680026" w:rsidRPr="00855C4D" w:rsidRDefault="00680026" w:rsidP="00680026">
                  <w:pPr>
                    <w:jc w:val="center"/>
                    <w:rPr>
                      <w:rFonts w:ascii="Arial" w:hAnsi="Arial" w:cs="Arial"/>
                      <w:b/>
                      <w:color w:val="0070C0"/>
                      <w:sz w:val="20"/>
                      <w:szCs w:val="20"/>
                      <w:highlight w:val="yellow"/>
                    </w:rPr>
                  </w:pPr>
                  <w:r w:rsidRPr="00D36CC2">
                    <w:rPr>
                      <w:rFonts w:ascii="Arial" w:hAnsi="Arial" w:cs="Arial"/>
                      <w:b/>
                      <w:color w:val="0070C0"/>
                      <w:sz w:val="20"/>
                      <w:szCs w:val="20"/>
                    </w:rPr>
                    <w:t>of Trust Workforce</w:t>
                  </w:r>
                </w:p>
              </w:tc>
            </w:tr>
            <w:tr w:rsidR="00193699" w:rsidRPr="00680026" w:rsidTr="00680026">
              <w:trPr>
                <w:jc w:val="center"/>
              </w:trPr>
              <w:tc>
                <w:tcPr>
                  <w:tcW w:w="1081" w:type="dxa"/>
                </w:tcPr>
                <w:p w:rsidR="00680026" w:rsidRPr="00680026" w:rsidRDefault="00680026" w:rsidP="00680026">
                  <w:pPr>
                    <w:jc w:val="center"/>
                    <w:rPr>
                      <w:rFonts w:ascii="Arial" w:hAnsi="Arial" w:cs="Arial"/>
                      <w:b/>
                      <w:color w:val="0070C0"/>
                      <w:sz w:val="20"/>
                      <w:szCs w:val="20"/>
                    </w:rPr>
                  </w:pPr>
                </w:p>
              </w:tc>
              <w:tc>
                <w:tcPr>
                  <w:tcW w:w="804"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White</w:t>
                  </w:r>
                </w:p>
              </w:tc>
              <w:tc>
                <w:tcPr>
                  <w:tcW w:w="820"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BME</w:t>
                  </w:r>
                </w:p>
              </w:tc>
              <w:tc>
                <w:tcPr>
                  <w:tcW w:w="706"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Not Stated</w:t>
                  </w:r>
                </w:p>
              </w:tc>
              <w:tc>
                <w:tcPr>
                  <w:tcW w:w="882"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White</w:t>
                  </w:r>
                </w:p>
              </w:tc>
              <w:tc>
                <w:tcPr>
                  <w:tcW w:w="770"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BME</w:t>
                  </w:r>
                </w:p>
              </w:tc>
              <w:tc>
                <w:tcPr>
                  <w:tcW w:w="770"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Not Stated</w:t>
                  </w:r>
                </w:p>
              </w:tc>
              <w:tc>
                <w:tcPr>
                  <w:tcW w:w="882"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White</w:t>
                  </w:r>
                </w:p>
              </w:tc>
              <w:tc>
                <w:tcPr>
                  <w:tcW w:w="882"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BME</w:t>
                  </w:r>
                </w:p>
              </w:tc>
              <w:tc>
                <w:tcPr>
                  <w:tcW w:w="706"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Not Stated</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Under Band 1</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0.09%</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0.02%</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0.09%</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0.02%</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1</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2.44%</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0.38%</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0.22%</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2.44%</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0.38%</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0.22%</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2</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19.59%</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3.81%</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0.33%</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9.17%</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1.32%</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0.20%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9.88%</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2.49%</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0.13%</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3</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7.07%</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1.14%</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0.18%</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4.32%</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0.64%</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0.11%</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2.75%</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0.49%</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0.07%</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4</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6.63%</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1.25%</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0.15%</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4.71%</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0.51%</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0.09%</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1.92%</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0.73%</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0.05%</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5</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10.52%</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8.50%</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0.92%</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1.18%</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0.33%</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0.07%</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8.70%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8.17%</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0.84%</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6</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10.50%</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2.29%</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0.24%</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0.73%</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0.16%</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0.02%</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9.77%</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2.13%</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0.22%</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7</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7.62%</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1.23%</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0.11%</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1.41%</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0.22%</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0.02%</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6.21%</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1.01%</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0.09%</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8a</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2.09%</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0.37%</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0.05%</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0.81%</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0.05%</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0.02%</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1.28%</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0.31%</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0.04%</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8b</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0.79%</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0.07%</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0.04%</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0.46%</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0.02%</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0.04%</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0.33%</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0.05%</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8c</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0.26%</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0.00%</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0.04%</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0.22%</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8d</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0.11%</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0.00%</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0.05%</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0.02%</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0.05%</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9</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0.00%</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0.02%</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770"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VSM</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0.35%</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0.04%</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0.00%</w:t>
                  </w:r>
                </w:p>
              </w:tc>
              <w:tc>
                <w:tcPr>
                  <w:tcW w:w="882" w:type="dxa"/>
                  <w:tcBorders>
                    <w:bottom w:val="single" w:sz="4" w:space="0" w:color="auto"/>
                  </w:tcBorders>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0.29%</w:t>
                  </w:r>
                </w:p>
              </w:tc>
              <w:tc>
                <w:tcPr>
                  <w:tcW w:w="770" w:type="dxa"/>
                  <w:tcBorders>
                    <w:bottom w:val="single" w:sz="4" w:space="0" w:color="auto"/>
                  </w:tcBorders>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0.04%</w:t>
                  </w:r>
                </w:p>
              </w:tc>
              <w:tc>
                <w:tcPr>
                  <w:tcW w:w="770" w:type="dxa"/>
                  <w:tcBorders>
                    <w:bottom w:val="single" w:sz="4" w:space="0" w:color="auto"/>
                  </w:tcBorders>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0.05%</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Consultants</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2.11%</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2.05%</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0.22%</w:t>
                  </w:r>
                </w:p>
              </w:tc>
              <w:tc>
                <w:tcPr>
                  <w:tcW w:w="882" w:type="dxa"/>
                  <w:shd w:val="clear" w:color="auto" w:fill="BFBFBF" w:themeFill="background1" w:themeFillShade="BF"/>
                  <w:vAlign w:val="bottom"/>
                </w:tcPr>
                <w:p w:rsidR="00680026" w:rsidRPr="00680026" w:rsidRDefault="00680026" w:rsidP="00680026">
                  <w:pPr>
                    <w:jc w:val="center"/>
                    <w:rPr>
                      <w:rFonts w:ascii="Arial" w:hAnsi="Arial" w:cs="Arial"/>
                      <w:b/>
                      <w:bCs/>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b/>
                      <w:bCs/>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b/>
                      <w:bCs/>
                      <w:color w:val="0070C0"/>
                      <w:sz w:val="20"/>
                      <w:szCs w:val="20"/>
                    </w:rPr>
                  </w:pP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2.11%</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2.05%</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0.22%</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Career Grade Doctors</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0.07%</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0.42%</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0.07%</w:t>
                  </w:r>
                </w:p>
              </w:tc>
              <w:tc>
                <w:tcPr>
                  <w:tcW w:w="882"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882" w:type="dxa"/>
                  <w:vAlign w:val="bottom"/>
                </w:tcPr>
                <w:p w:rsidR="00680026" w:rsidRPr="00680026" w:rsidRDefault="00193699" w:rsidP="00193699">
                  <w:pPr>
                    <w:jc w:val="center"/>
                    <w:rPr>
                      <w:rFonts w:ascii="Arial" w:hAnsi="Arial" w:cs="Arial"/>
                      <w:color w:val="0070C0"/>
                      <w:sz w:val="20"/>
                      <w:szCs w:val="20"/>
                    </w:rPr>
                  </w:pPr>
                  <w:r>
                    <w:rPr>
                      <w:rFonts w:ascii="Arial" w:hAnsi="Arial" w:cs="Arial"/>
                      <w:color w:val="0070C0"/>
                      <w:sz w:val="20"/>
                      <w:szCs w:val="20"/>
                    </w:rPr>
                    <w:t>0.07%</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0.42%</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0.07%</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Junior Doctors</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1.41%</w:t>
                  </w:r>
                </w:p>
              </w:tc>
              <w:tc>
                <w:tcPr>
                  <w:tcW w:w="820"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2.80%</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1.36%</w:t>
                  </w:r>
                </w:p>
              </w:tc>
              <w:tc>
                <w:tcPr>
                  <w:tcW w:w="882"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1.41%</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2.80%</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1.36%</w:t>
                  </w:r>
                </w:p>
              </w:tc>
            </w:tr>
            <w:tr w:rsidR="00193699"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Other Medical Staff</w:t>
                  </w:r>
                </w:p>
              </w:tc>
              <w:tc>
                <w:tcPr>
                  <w:tcW w:w="804"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0.04%</w:t>
                  </w:r>
                </w:p>
              </w:tc>
              <w:tc>
                <w:tcPr>
                  <w:tcW w:w="820" w:type="dxa"/>
                  <w:vAlign w:val="bottom"/>
                </w:tcPr>
                <w:p w:rsidR="00680026" w:rsidRPr="00680026" w:rsidRDefault="00855C4D" w:rsidP="00855C4D">
                  <w:pPr>
                    <w:jc w:val="center"/>
                    <w:rPr>
                      <w:rFonts w:ascii="Arial" w:hAnsi="Arial" w:cs="Arial"/>
                      <w:color w:val="0070C0"/>
                      <w:sz w:val="20"/>
                      <w:szCs w:val="20"/>
                    </w:rPr>
                  </w:pPr>
                  <w:r>
                    <w:rPr>
                      <w:rFonts w:ascii="Arial" w:hAnsi="Arial" w:cs="Arial"/>
                      <w:color w:val="0070C0"/>
                      <w:sz w:val="20"/>
                      <w:szCs w:val="20"/>
                    </w:rPr>
                    <w:t>0.04%</w:t>
                  </w:r>
                </w:p>
              </w:tc>
              <w:tc>
                <w:tcPr>
                  <w:tcW w:w="706" w:type="dxa"/>
                  <w:vAlign w:val="bottom"/>
                </w:tcPr>
                <w:p w:rsidR="00680026" w:rsidRPr="00680026" w:rsidRDefault="00855C4D" w:rsidP="00680026">
                  <w:pPr>
                    <w:jc w:val="center"/>
                    <w:rPr>
                      <w:rFonts w:ascii="Arial" w:hAnsi="Arial" w:cs="Arial"/>
                      <w:color w:val="0070C0"/>
                      <w:sz w:val="20"/>
                      <w:szCs w:val="20"/>
                    </w:rPr>
                  </w:pPr>
                  <w:r>
                    <w:rPr>
                      <w:rFonts w:ascii="Arial" w:hAnsi="Arial" w:cs="Arial"/>
                      <w:color w:val="0070C0"/>
                      <w:sz w:val="20"/>
                      <w:szCs w:val="20"/>
                    </w:rPr>
                    <w:t>0.00%</w:t>
                  </w:r>
                </w:p>
              </w:tc>
              <w:tc>
                <w:tcPr>
                  <w:tcW w:w="882"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0.04%</w:t>
                  </w:r>
                </w:p>
              </w:tc>
              <w:tc>
                <w:tcPr>
                  <w:tcW w:w="882"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0.04%</w:t>
                  </w:r>
                </w:p>
              </w:tc>
              <w:tc>
                <w:tcPr>
                  <w:tcW w:w="706" w:type="dxa"/>
                  <w:vAlign w:val="bottom"/>
                </w:tcPr>
                <w:p w:rsidR="00680026" w:rsidRPr="00680026" w:rsidRDefault="00193699" w:rsidP="00680026">
                  <w:pPr>
                    <w:jc w:val="center"/>
                    <w:rPr>
                      <w:rFonts w:ascii="Arial" w:hAnsi="Arial" w:cs="Arial"/>
                      <w:color w:val="0070C0"/>
                      <w:sz w:val="20"/>
                      <w:szCs w:val="20"/>
                    </w:rPr>
                  </w:pPr>
                  <w:r>
                    <w:rPr>
                      <w:rFonts w:ascii="Arial" w:hAnsi="Arial" w:cs="Arial"/>
                      <w:color w:val="0070C0"/>
                      <w:sz w:val="20"/>
                      <w:szCs w:val="20"/>
                    </w:rPr>
                    <w:t>0.00%</w:t>
                  </w:r>
                </w:p>
              </w:tc>
            </w:tr>
            <w:tr w:rsidR="00193699" w:rsidRPr="00680026" w:rsidTr="00680026">
              <w:trPr>
                <w:jc w:val="center"/>
              </w:trPr>
              <w:tc>
                <w:tcPr>
                  <w:tcW w:w="1081" w:type="dxa"/>
                </w:tcPr>
                <w:p w:rsidR="00680026" w:rsidRPr="00680026" w:rsidRDefault="00680026" w:rsidP="00680026">
                  <w:pPr>
                    <w:rPr>
                      <w:rFonts w:ascii="Arial" w:hAnsi="Arial" w:cs="Arial"/>
                      <w:b/>
                      <w:color w:val="0070C0"/>
                      <w:sz w:val="20"/>
                      <w:szCs w:val="20"/>
                    </w:rPr>
                  </w:pPr>
                  <w:r w:rsidRPr="00680026">
                    <w:rPr>
                      <w:rFonts w:ascii="Arial" w:hAnsi="Arial" w:cs="Arial"/>
                      <w:b/>
                      <w:color w:val="0070C0"/>
                      <w:sz w:val="20"/>
                      <w:szCs w:val="20"/>
                    </w:rPr>
                    <w:t>Total</w:t>
                  </w:r>
                </w:p>
              </w:tc>
              <w:tc>
                <w:tcPr>
                  <w:tcW w:w="804" w:type="dxa"/>
                  <w:vAlign w:val="bottom"/>
                </w:tcPr>
                <w:p w:rsidR="00680026" w:rsidRPr="00680026" w:rsidRDefault="00855C4D" w:rsidP="00680026">
                  <w:pPr>
                    <w:jc w:val="center"/>
                    <w:rPr>
                      <w:rFonts w:ascii="Arial" w:hAnsi="Arial" w:cs="Arial"/>
                      <w:b/>
                      <w:color w:val="0070C0"/>
                      <w:sz w:val="20"/>
                      <w:szCs w:val="20"/>
                    </w:rPr>
                  </w:pPr>
                  <w:r>
                    <w:rPr>
                      <w:rFonts w:ascii="Arial" w:hAnsi="Arial" w:cs="Arial"/>
                      <w:b/>
                      <w:color w:val="0070C0"/>
                      <w:sz w:val="20"/>
                      <w:szCs w:val="20"/>
                    </w:rPr>
                    <w:t>71.69%</w:t>
                  </w:r>
                </w:p>
              </w:tc>
              <w:tc>
                <w:tcPr>
                  <w:tcW w:w="820" w:type="dxa"/>
                  <w:vAlign w:val="bottom"/>
                </w:tcPr>
                <w:p w:rsidR="00680026" w:rsidRPr="00680026" w:rsidRDefault="00855C4D" w:rsidP="00680026">
                  <w:pPr>
                    <w:jc w:val="center"/>
                    <w:rPr>
                      <w:rFonts w:ascii="Arial" w:hAnsi="Arial" w:cs="Arial"/>
                      <w:b/>
                      <w:bCs/>
                      <w:color w:val="0070C0"/>
                      <w:sz w:val="20"/>
                      <w:szCs w:val="20"/>
                    </w:rPr>
                  </w:pPr>
                  <w:r>
                    <w:rPr>
                      <w:rFonts w:ascii="Arial" w:hAnsi="Arial" w:cs="Arial"/>
                      <w:b/>
                      <w:bCs/>
                      <w:color w:val="0070C0"/>
                      <w:sz w:val="20"/>
                      <w:szCs w:val="20"/>
                    </w:rPr>
                    <w:t>24.43%</w:t>
                  </w:r>
                </w:p>
              </w:tc>
              <w:tc>
                <w:tcPr>
                  <w:tcW w:w="706" w:type="dxa"/>
                  <w:vAlign w:val="bottom"/>
                </w:tcPr>
                <w:p w:rsidR="00680026" w:rsidRPr="00680026" w:rsidRDefault="00855C4D" w:rsidP="00680026">
                  <w:pPr>
                    <w:jc w:val="center"/>
                    <w:rPr>
                      <w:rFonts w:ascii="Arial" w:hAnsi="Arial" w:cs="Arial"/>
                      <w:b/>
                      <w:bCs/>
                      <w:color w:val="0070C0"/>
                      <w:sz w:val="20"/>
                      <w:szCs w:val="20"/>
                    </w:rPr>
                  </w:pPr>
                  <w:r>
                    <w:rPr>
                      <w:rFonts w:ascii="Arial" w:hAnsi="Arial" w:cs="Arial"/>
                      <w:b/>
                      <w:bCs/>
                      <w:color w:val="0070C0"/>
                      <w:sz w:val="20"/>
                      <w:szCs w:val="20"/>
                    </w:rPr>
                    <w:t>3.88%</w:t>
                  </w:r>
                </w:p>
              </w:tc>
              <w:tc>
                <w:tcPr>
                  <w:tcW w:w="882" w:type="dxa"/>
                  <w:vAlign w:val="bottom"/>
                </w:tcPr>
                <w:p w:rsidR="00680026" w:rsidRPr="00680026" w:rsidRDefault="00193699" w:rsidP="00680026">
                  <w:pPr>
                    <w:jc w:val="center"/>
                    <w:rPr>
                      <w:rFonts w:ascii="Arial" w:hAnsi="Arial" w:cs="Arial"/>
                      <w:b/>
                      <w:bCs/>
                      <w:color w:val="0070C0"/>
                      <w:sz w:val="20"/>
                      <w:szCs w:val="20"/>
                    </w:rPr>
                  </w:pPr>
                  <w:r>
                    <w:rPr>
                      <w:rFonts w:ascii="Arial" w:hAnsi="Arial" w:cs="Arial"/>
                      <w:b/>
                      <w:bCs/>
                      <w:color w:val="0070C0"/>
                      <w:sz w:val="20"/>
                      <w:szCs w:val="20"/>
                    </w:rPr>
                    <w:t>26.88%</w:t>
                  </w:r>
                </w:p>
              </w:tc>
              <w:tc>
                <w:tcPr>
                  <w:tcW w:w="770" w:type="dxa"/>
                  <w:vAlign w:val="bottom"/>
                </w:tcPr>
                <w:p w:rsidR="00680026" w:rsidRPr="00680026" w:rsidRDefault="00193699" w:rsidP="00680026">
                  <w:pPr>
                    <w:jc w:val="center"/>
                    <w:rPr>
                      <w:rFonts w:ascii="Arial" w:hAnsi="Arial" w:cs="Arial"/>
                      <w:b/>
                      <w:bCs/>
                      <w:color w:val="0070C0"/>
                      <w:sz w:val="20"/>
                      <w:szCs w:val="20"/>
                    </w:rPr>
                  </w:pPr>
                  <w:r>
                    <w:rPr>
                      <w:rFonts w:ascii="Arial" w:hAnsi="Arial" w:cs="Arial"/>
                      <w:b/>
                      <w:bCs/>
                      <w:color w:val="0070C0"/>
                      <w:sz w:val="20"/>
                      <w:szCs w:val="20"/>
                    </w:rPr>
                    <w:t>3.72%</w:t>
                  </w:r>
                </w:p>
              </w:tc>
              <w:tc>
                <w:tcPr>
                  <w:tcW w:w="770" w:type="dxa"/>
                  <w:vAlign w:val="bottom"/>
                </w:tcPr>
                <w:p w:rsidR="00680026" w:rsidRPr="00680026" w:rsidRDefault="00193699" w:rsidP="00680026">
                  <w:pPr>
                    <w:jc w:val="center"/>
                    <w:rPr>
                      <w:rFonts w:ascii="Arial" w:hAnsi="Arial" w:cs="Arial"/>
                      <w:b/>
                      <w:bCs/>
                      <w:color w:val="0070C0"/>
                      <w:sz w:val="20"/>
                      <w:szCs w:val="20"/>
                    </w:rPr>
                  </w:pPr>
                  <w:r>
                    <w:rPr>
                      <w:rFonts w:ascii="Arial" w:hAnsi="Arial" w:cs="Arial"/>
                      <w:b/>
                      <w:bCs/>
                      <w:color w:val="0070C0"/>
                      <w:sz w:val="20"/>
                      <w:szCs w:val="20"/>
                    </w:rPr>
                    <w:t>0.79%</w:t>
                  </w:r>
                </w:p>
              </w:tc>
              <w:tc>
                <w:tcPr>
                  <w:tcW w:w="882" w:type="dxa"/>
                  <w:vAlign w:val="bottom"/>
                </w:tcPr>
                <w:p w:rsidR="00680026" w:rsidRPr="00680026" w:rsidRDefault="00193699" w:rsidP="00680026">
                  <w:pPr>
                    <w:jc w:val="center"/>
                    <w:rPr>
                      <w:rFonts w:ascii="Arial" w:hAnsi="Arial" w:cs="Arial"/>
                      <w:b/>
                      <w:bCs/>
                      <w:color w:val="0070C0"/>
                      <w:sz w:val="20"/>
                      <w:szCs w:val="20"/>
                    </w:rPr>
                  </w:pPr>
                  <w:r>
                    <w:rPr>
                      <w:rFonts w:ascii="Arial" w:hAnsi="Arial" w:cs="Arial"/>
                      <w:b/>
                      <w:bCs/>
                      <w:color w:val="0070C0"/>
                      <w:sz w:val="20"/>
                      <w:szCs w:val="20"/>
                    </w:rPr>
                    <w:t>44.80%</w:t>
                  </w:r>
                </w:p>
              </w:tc>
              <w:tc>
                <w:tcPr>
                  <w:tcW w:w="882" w:type="dxa"/>
                  <w:vAlign w:val="bottom"/>
                </w:tcPr>
                <w:p w:rsidR="00680026" w:rsidRPr="00680026" w:rsidRDefault="00193699" w:rsidP="00680026">
                  <w:pPr>
                    <w:jc w:val="center"/>
                    <w:rPr>
                      <w:rFonts w:ascii="Arial" w:hAnsi="Arial" w:cs="Arial"/>
                      <w:b/>
                      <w:bCs/>
                      <w:color w:val="0070C0"/>
                      <w:sz w:val="20"/>
                      <w:szCs w:val="20"/>
                    </w:rPr>
                  </w:pPr>
                  <w:r>
                    <w:rPr>
                      <w:rFonts w:ascii="Arial" w:hAnsi="Arial" w:cs="Arial"/>
                      <w:b/>
                      <w:bCs/>
                      <w:color w:val="0070C0"/>
                      <w:sz w:val="20"/>
                      <w:szCs w:val="20"/>
                    </w:rPr>
                    <w:t>20.71%</w:t>
                  </w:r>
                </w:p>
              </w:tc>
              <w:tc>
                <w:tcPr>
                  <w:tcW w:w="706" w:type="dxa"/>
                  <w:vAlign w:val="bottom"/>
                </w:tcPr>
                <w:p w:rsidR="00680026" w:rsidRPr="00680026" w:rsidRDefault="00193699" w:rsidP="00680026">
                  <w:pPr>
                    <w:jc w:val="center"/>
                    <w:rPr>
                      <w:rFonts w:ascii="Arial" w:hAnsi="Arial" w:cs="Arial"/>
                      <w:b/>
                      <w:bCs/>
                      <w:color w:val="0070C0"/>
                      <w:sz w:val="20"/>
                      <w:szCs w:val="20"/>
                    </w:rPr>
                  </w:pPr>
                  <w:r>
                    <w:rPr>
                      <w:rFonts w:ascii="Arial" w:hAnsi="Arial" w:cs="Arial"/>
                      <w:b/>
                      <w:bCs/>
                      <w:color w:val="0070C0"/>
                      <w:sz w:val="20"/>
                      <w:szCs w:val="20"/>
                    </w:rPr>
                    <w:t>3.10%</w:t>
                  </w:r>
                </w:p>
              </w:tc>
            </w:tr>
          </w:tbl>
          <w:p w:rsidR="00680026" w:rsidRPr="00680026" w:rsidRDefault="00680026" w:rsidP="00680026">
            <w:pPr>
              <w:rPr>
                <w:rFonts w:ascii="Arial" w:eastAsia="Times New Roman" w:hAnsi="Arial" w:cs="Arial"/>
                <w:b/>
                <w:bCs/>
                <w:sz w:val="24"/>
                <w:szCs w:val="24"/>
                <w:lang w:eastAsia="en-GB"/>
              </w:rPr>
            </w:pPr>
          </w:p>
        </w:tc>
      </w:tr>
    </w:tbl>
    <w:p w:rsidR="00B84226" w:rsidRDefault="00B84226" w:rsidP="001F7F0A">
      <w:pPr>
        <w:rPr>
          <w:rFonts w:ascii="Arial" w:hAnsi="Arial" w:cs="Arial"/>
          <w:color w:val="FF0000"/>
          <w:sz w:val="24"/>
          <w:szCs w:val="24"/>
          <w:highlight w:val="yellow"/>
        </w:rPr>
      </w:pPr>
    </w:p>
    <w:p w:rsidR="00855C4D" w:rsidRDefault="00855C4D" w:rsidP="001F7F0A">
      <w:pPr>
        <w:rPr>
          <w:rFonts w:ascii="Arial" w:hAnsi="Arial" w:cs="Arial"/>
          <w:color w:val="FF0000"/>
          <w:sz w:val="24"/>
          <w:szCs w:val="24"/>
          <w:highlight w:val="yellow"/>
        </w:rPr>
      </w:pPr>
    </w:p>
    <w:p w:rsidR="00D36CC2" w:rsidRPr="003251A9" w:rsidRDefault="00D36CC2" w:rsidP="001F7F0A">
      <w:pPr>
        <w:rPr>
          <w:rFonts w:ascii="Arial" w:hAnsi="Arial" w:cs="Arial"/>
          <w:color w:val="FF0000"/>
          <w:sz w:val="24"/>
          <w:szCs w:val="24"/>
          <w:highlight w:val="yellow"/>
        </w:rPr>
      </w:pPr>
    </w:p>
    <w:p w:rsidR="00B84226" w:rsidRPr="00680026" w:rsidRDefault="006743C9" w:rsidP="00B84226">
      <w:pPr>
        <w:rPr>
          <w:rFonts w:ascii="Arial" w:hAnsi="Arial" w:cs="Arial"/>
          <w:sz w:val="24"/>
          <w:szCs w:val="24"/>
        </w:rPr>
      </w:pPr>
      <w:r w:rsidRPr="00680026">
        <w:rPr>
          <w:rFonts w:ascii="Arial" w:hAnsi="Arial" w:cs="Arial"/>
          <w:sz w:val="24"/>
          <w:szCs w:val="24"/>
        </w:rPr>
        <w:lastRenderedPageBreak/>
        <w:t>D</w:t>
      </w:r>
      <w:r w:rsidR="00B84226" w:rsidRPr="00680026">
        <w:rPr>
          <w:rFonts w:ascii="Arial" w:hAnsi="Arial" w:cs="Arial"/>
          <w:sz w:val="24"/>
          <w:szCs w:val="24"/>
        </w:rPr>
        <w:t xml:space="preserve">ata for previous year: </w:t>
      </w:r>
    </w:p>
    <w:tbl>
      <w:tblPr>
        <w:tblW w:w="1700" w:type="dxa"/>
        <w:tblInd w:w="93" w:type="dxa"/>
        <w:tblLook w:val="04A0" w:firstRow="1" w:lastRow="0" w:firstColumn="1" w:lastColumn="0" w:noHBand="0" w:noVBand="1"/>
      </w:tblPr>
      <w:tblGrid>
        <w:gridCol w:w="9242"/>
      </w:tblGrid>
      <w:tr w:rsidR="00B8147F" w:rsidRPr="00680026" w:rsidTr="00254134">
        <w:trPr>
          <w:trHeight w:val="300"/>
        </w:trPr>
        <w:tc>
          <w:tcPr>
            <w:tcW w:w="1700" w:type="dxa"/>
            <w:tcBorders>
              <w:top w:val="nil"/>
              <w:left w:val="nil"/>
              <w:bottom w:val="nil"/>
              <w:right w:val="nil"/>
            </w:tcBorders>
            <w:shd w:val="clear" w:color="auto" w:fill="auto"/>
            <w:noWrap/>
            <w:vAlign w:val="bottom"/>
          </w:tcPr>
          <w:p w:rsidR="00680026" w:rsidRPr="00680026" w:rsidRDefault="00680026" w:rsidP="00680026">
            <w:pPr>
              <w:rPr>
                <w:rFonts w:ascii="Arial" w:hAnsi="Arial" w:cs="Arial"/>
                <w:color w:val="0070C0"/>
                <w:sz w:val="24"/>
                <w:szCs w:val="24"/>
              </w:rPr>
            </w:pPr>
            <w:r w:rsidRPr="00680026">
              <w:rPr>
                <w:rFonts w:ascii="Arial" w:hAnsi="Arial" w:cs="Arial"/>
                <w:color w:val="0070C0"/>
                <w:sz w:val="24"/>
                <w:szCs w:val="24"/>
              </w:rPr>
              <w:t xml:space="preserve">Overall Workforce (5118) </w:t>
            </w:r>
          </w:p>
          <w:p w:rsidR="00680026" w:rsidRPr="00680026" w:rsidRDefault="00680026" w:rsidP="00680026">
            <w:pPr>
              <w:pStyle w:val="ListParagraph"/>
              <w:numPr>
                <w:ilvl w:val="0"/>
                <w:numId w:val="1"/>
              </w:numPr>
              <w:rPr>
                <w:rFonts w:ascii="Arial" w:hAnsi="Arial" w:cs="Arial"/>
                <w:color w:val="0070C0"/>
                <w:sz w:val="24"/>
                <w:szCs w:val="24"/>
              </w:rPr>
            </w:pPr>
            <w:r w:rsidRPr="00680026">
              <w:rPr>
                <w:rFonts w:ascii="Arial" w:hAnsi="Arial" w:cs="Arial"/>
                <w:color w:val="0070C0"/>
                <w:sz w:val="24"/>
                <w:szCs w:val="24"/>
              </w:rPr>
              <w:t>White 73.19 (3746)</w:t>
            </w:r>
          </w:p>
          <w:p w:rsidR="00680026" w:rsidRPr="00680026" w:rsidRDefault="00680026" w:rsidP="00680026">
            <w:pPr>
              <w:pStyle w:val="ListParagraph"/>
              <w:numPr>
                <w:ilvl w:val="0"/>
                <w:numId w:val="1"/>
              </w:numPr>
              <w:rPr>
                <w:rFonts w:ascii="Arial" w:hAnsi="Arial" w:cs="Arial"/>
                <w:color w:val="0070C0"/>
                <w:sz w:val="24"/>
                <w:szCs w:val="24"/>
              </w:rPr>
            </w:pPr>
            <w:r w:rsidRPr="00680026">
              <w:rPr>
                <w:rFonts w:ascii="Arial" w:hAnsi="Arial" w:cs="Arial"/>
                <w:color w:val="0070C0"/>
                <w:sz w:val="24"/>
                <w:szCs w:val="24"/>
              </w:rPr>
              <w:t>BME 22.84% (1169)</w:t>
            </w:r>
          </w:p>
          <w:p w:rsidR="00680026" w:rsidRPr="00680026" w:rsidRDefault="00680026" w:rsidP="00680026">
            <w:pPr>
              <w:pStyle w:val="ListParagraph"/>
              <w:numPr>
                <w:ilvl w:val="0"/>
                <w:numId w:val="1"/>
              </w:numPr>
              <w:rPr>
                <w:rFonts w:ascii="Arial" w:hAnsi="Arial" w:cs="Arial"/>
                <w:color w:val="0070C0"/>
                <w:sz w:val="24"/>
                <w:szCs w:val="24"/>
              </w:rPr>
            </w:pPr>
            <w:r w:rsidRPr="00680026">
              <w:rPr>
                <w:rFonts w:ascii="Arial" w:hAnsi="Arial" w:cs="Arial"/>
                <w:color w:val="0070C0"/>
                <w:sz w:val="24"/>
                <w:szCs w:val="24"/>
              </w:rPr>
              <w:t>Not Stated 3.97% (203)</w:t>
            </w:r>
          </w:p>
          <w:tbl>
            <w:tblPr>
              <w:tblStyle w:val="TableGrid"/>
              <w:tblW w:w="8303" w:type="dxa"/>
              <w:jc w:val="center"/>
              <w:tblLook w:val="04A0" w:firstRow="1" w:lastRow="0" w:firstColumn="1" w:lastColumn="0" w:noHBand="0" w:noVBand="1"/>
            </w:tblPr>
            <w:tblGrid>
              <w:gridCol w:w="1273"/>
              <w:gridCol w:w="895"/>
              <w:gridCol w:w="895"/>
              <w:gridCol w:w="828"/>
              <w:gridCol w:w="895"/>
              <w:gridCol w:w="784"/>
              <w:gridCol w:w="828"/>
              <w:gridCol w:w="895"/>
              <w:gridCol w:w="895"/>
              <w:gridCol w:w="828"/>
            </w:tblGrid>
            <w:tr w:rsidR="00680026" w:rsidRPr="00680026" w:rsidTr="00680026">
              <w:trPr>
                <w:jc w:val="center"/>
              </w:trPr>
              <w:tc>
                <w:tcPr>
                  <w:tcW w:w="1081" w:type="dxa"/>
                </w:tcPr>
                <w:p w:rsidR="00680026" w:rsidRPr="00680026" w:rsidRDefault="00680026" w:rsidP="00680026">
                  <w:pPr>
                    <w:jc w:val="center"/>
                    <w:rPr>
                      <w:rFonts w:ascii="Arial" w:hAnsi="Arial" w:cs="Arial"/>
                      <w:b/>
                      <w:color w:val="0070C0"/>
                      <w:sz w:val="20"/>
                      <w:szCs w:val="20"/>
                    </w:rPr>
                  </w:pPr>
                </w:p>
              </w:tc>
              <w:tc>
                <w:tcPr>
                  <w:tcW w:w="2330" w:type="dxa"/>
                  <w:gridSpan w:val="3"/>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Overall Workforce</w:t>
                  </w:r>
                </w:p>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5118 staff</w:t>
                  </w:r>
                </w:p>
              </w:tc>
              <w:tc>
                <w:tcPr>
                  <w:tcW w:w="2422" w:type="dxa"/>
                  <w:gridSpan w:val="3"/>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Non-Clinical Workforce</w:t>
                  </w:r>
                </w:p>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 xml:space="preserve">30.99% (1586) </w:t>
                  </w:r>
                </w:p>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of Trust Workforce</w:t>
                  </w:r>
                </w:p>
              </w:tc>
              <w:tc>
                <w:tcPr>
                  <w:tcW w:w="2470" w:type="dxa"/>
                  <w:gridSpan w:val="3"/>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Clinical Workforce</w:t>
                  </w:r>
                </w:p>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 xml:space="preserve">69.01% (3532) </w:t>
                  </w:r>
                </w:p>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of Trust Workforce</w:t>
                  </w:r>
                </w:p>
              </w:tc>
            </w:tr>
            <w:tr w:rsidR="00680026" w:rsidRPr="00680026" w:rsidTr="00680026">
              <w:trPr>
                <w:jc w:val="center"/>
              </w:trPr>
              <w:tc>
                <w:tcPr>
                  <w:tcW w:w="1081" w:type="dxa"/>
                </w:tcPr>
                <w:p w:rsidR="00680026" w:rsidRPr="00680026" w:rsidRDefault="00680026" w:rsidP="00680026">
                  <w:pPr>
                    <w:jc w:val="center"/>
                    <w:rPr>
                      <w:rFonts w:ascii="Arial" w:hAnsi="Arial" w:cs="Arial"/>
                      <w:b/>
                      <w:color w:val="0070C0"/>
                      <w:sz w:val="20"/>
                      <w:szCs w:val="20"/>
                    </w:rPr>
                  </w:pPr>
                </w:p>
              </w:tc>
              <w:tc>
                <w:tcPr>
                  <w:tcW w:w="804"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White</w:t>
                  </w:r>
                </w:p>
              </w:tc>
              <w:tc>
                <w:tcPr>
                  <w:tcW w:w="820"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BME</w:t>
                  </w:r>
                </w:p>
              </w:tc>
              <w:tc>
                <w:tcPr>
                  <w:tcW w:w="706"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Not Stated</w:t>
                  </w:r>
                </w:p>
              </w:tc>
              <w:tc>
                <w:tcPr>
                  <w:tcW w:w="882"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White</w:t>
                  </w:r>
                </w:p>
              </w:tc>
              <w:tc>
                <w:tcPr>
                  <w:tcW w:w="770"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BME</w:t>
                  </w:r>
                </w:p>
              </w:tc>
              <w:tc>
                <w:tcPr>
                  <w:tcW w:w="770"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Not Stated</w:t>
                  </w:r>
                </w:p>
              </w:tc>
              <w:tc>
                <w:tcPr>
                  <w:tcW w:w="882"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White</w:t>
                  </w:r>
                </w:p>
              </w:tc>
              <w:tc>
                <w:tcPr>
                  <w:tcW w:w="882"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BME</w:t>
                  </w:r>
                </w:p>
              </w:tc>
              <w:tc>
                <w:tcPr>
                  <w:tcW w:w="706" w:type="dxa"/>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Not Stated</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Under Band 1</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1</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5.59%</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1.00%</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0.37%</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5.59%</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1.00%</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0.37%</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2</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15.69%</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3.01%</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0.29%</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6.55%</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0.68%</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0.14%</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9.14%</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2.33%</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0.16%</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3</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7.44%</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1.07%</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0.18%</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4.53%</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0.61%</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2.91%</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0.47%</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0.08%</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4</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6.49%</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1.25%</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4.67%</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0.51%</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0.08%</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1.82%</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0.74%</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0.02%</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5</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11.49%</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7.46%</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0.94%</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1.80%</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0.33%</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0.08%</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9.69%</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7.13%</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0.86%</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6</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11.27%</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1.91%</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0.27%</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0.66%</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0.08%</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0.02%</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10.61%</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1.84%</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0.25%</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7</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7.5%</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1.21%</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0.18%</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1.27%</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0.21%</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0.02%</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6.23%</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1.00%</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0.16%</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8a</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2.33%</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0.35%</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0.08%</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0.84%</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0.06%</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1.48%</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0.29%</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8b</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0.76%</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0.37%</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0.39%</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8c</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0.33%</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0.02%</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0.10%</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0.02%</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0.23%</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8d</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0.08%</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0.02%</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0.06%</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Band 9</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7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VSM</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0.16%</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tcBorders>
                    <w:bottom w:val="single" w:sz="4" w:space="0" w:color="auto"/>
                  </w:tcBorders>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0.14%</w:t>
                  </w:r>
                </w:p>
              </w:tc>
              <w:tc>
                <w:tcPr>
                  <w:tcW w:w="770" w:type="dxa"/>
                  <w:tcBorders>
                    <w:bottom w:val="single" w:sz="4" w:space="0" w:color="auto"/>
                  </w:tcBorders>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70" w:type="dxa"/>
                  <w:tcBorders>
                    <w:bottom w:val="single" w:sz="4" w:space="0" w:color="auto"/>
                  </w:tcBorders>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0.02%</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Consultants</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2.25%</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2.17%</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0.16%</w:t>
                  </w:r>
                </w:p>
              </w:tc>
              <w:tc>
                <w:tcPr>
                  <w:tcW w:w="882" w:type="dxa"/>
                  <w:shd w:val="clear" w:color="auto" w:fill="BFBFBF" w:themeFill="background1" w:themeFillShade="BF"/>
                  <w:vAlign w:val="bottom"/>
                </w:tcPr>
                <w:p w:rsidR="00680026" w:rsidRPr="00680026" w:rsidRDefault="00680026" w:rsidP="00680026">
                  <w:pPr>
                    <w:jc w:val="center"/>
                    <w:rPr>
                      <w:rFonts w:ascii="Arial" w:hAnsi="Arial" w:cs="Arial"/>
                      <w:b/>
                      <w:bCs/>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b/>
                      <w:bCs/>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b/>
                      <w:bCs/>
                      <w:color w:val="0070C0"/>
                      <w:sz w:val="20"/>
                      <w:szCs w:val="20"/>
                    </w:rPr>
                  </w:pP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2.25%</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2.17%</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0.16%</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Career Grade Doctors</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0.12%</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0.45%</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0.12%</w:t>
                  </w:r>
                </w:p>
              </w:tc>
              <w:tc>
                <w:tcPr>
                  <w:tcW w:w="882"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0.12%</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0.45%</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0.12%</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Junior Doctors</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1.43%</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2.81%</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1.25%</w:t>
                  </w:r>
                </w:p>
              </w:tc>
              <w:tc>
                <w:tcPr>
                  <w:tcW w:w="882"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1.43%</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2.81%</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1.25%</w:t>
                  </w:r>
                </w:p>
              </w:tc>
            </w:tr>
            <w:tr w:rsidR="00680026" w:rsidRPr="00680026" w:rsidTr="00680026">
              <w:trPr>
                <w:jc w:val="center"/>
              </w:trPr>
              <w:tc>
                <w:tcPr>
                  <w:tcW w:w="1081" w:type="dxa"/>
                </w:tcPr>
                <w:p w:rsidR="00680026" w:rsidRPr="00680026" w:rsidRDefault="00680026" w:rsidP="00680026">
                  <w:pPr>
                    <w:rPr>
                      <w:rFonts w:ascii="Arial" w:hAnsi="Arial" w:cs="Arial"/>
                      <w:color w:val="0070C0"/>
                      <w:sz w:val="20"/>
                      <w:szCs w:val="20"/>
                    </w:rPr>
                  </w:pPr>
                  <w:r w:rsidRPr="00680026">
                    <w:rPr>
                      <w:rFonts w:ascii="Arial" w:hAnsi="Arial" w:cs="Arial"/>
                      <w:color w:val="0070C0"/>
                      <w:sz w:val="20"/>
                      <w:szCs w:val="20"/>
                    </w:rPr>
                    <w:t>Other Medical Staff</w:t>
                  </w:r>
                </w:p>
              </w:tc>
              <w:tc>
                <w:tcPr>
                  <w:tcW w:w="804"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0.23%</w:t>
                  </w:r>
                </w:p>
              </w:tc>
              <w:tc>
                <w:tcPr>
                  <w:tcW w:w="820"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c>
                <w:tcPr>
                  <w:tcW w:w="882"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770" w:type="dxa"/>
                  <w:shd w:val="clear" w:color="auto" w:fill="BFBFBF" w:themeFill="background1" w:themeFillShade="BF"/>
                  <w:vAlign w:val="bottom"/>
                </w:tcPr>
                <w:p w:rsidR="00680026" w:rsidRPr="00680026" w:rsidRDefault="00680026" w:rsidP="00680026">
                  <w:pPr>
                    <w:jc w:val="center"/>
                    <w:rPr>
                      <w:rFonts w:ascii="Arial" w:hAnsi="Arial" w:cs="Arial"/>
                      <w:color w:val="0070C0"/>
                      <w:sz w:val="20"/>
                      <w:szCs w:val="20"/>
                    </w:rPr>
                  </w:pP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0.23%</w:t>
                  </w:r>
                </w:p>
              </w:tc>
              <w:tc>
                <w:tcPr>
                  <w:tcW w:w="882"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0.04%</w:t>
                  </w:r>
                </w:p>
              </w:tc>
              <w:tc>
                <w:tcPr>
                  <w:tcW w:w="706" w:type="dxa"/>
                  <w:vAlign w:val="bottom"/>
                </w:tcPr>
                <w:p w:rsidR="00680026" w:rsidRPr="00680026" w:rsidRDefault="00680026" w:rsidP="00680026">
                  <w:pPr>
                    <w:jc w:val="center"/>
                    <w:rPr>
                      <w:rFonts w:ascii="Arial" w:hAnsi="Arial" w:cs="Arial"/>
                      <w:color w:val="0070C0"/>
                      <w:sz w:val="20"/>
                      <w:szCs w:val="20"/>
                    </w:rPr>
                  </w:pPr>
                  <w:r w:rsidRPr="00680026">
                    <w:rPr>
                      <w:rFonts w:ascii="Arial" w:hAnsi="Arial" w:cs="Arial"/>
                      <w:color w:val="0070C0"/>
                      <w:sz w:val="20"/>
                      <w:szCs w:val="20"/>
                    </w:rPr>
                    <w:t>0.00%</w:t>
                  </w:r>
                </w:p>
              </w:tc>
            </w:tr>
            <w:tr w:rsidR="00680026" w:rsidRPr="00680026" w:rsidTr="00680026">
              <w:trPr>
                <w:jc w:val="center"/>
              </w:trPr>
              <w:tc>
                <w:tcPr>
                  <w:tcW w:w="1081" w:type="dxa"/>
                </w:tcPr>
                <w:p w:rsidR="00680026" w:rsidRPr="00680026" w:rsidRDefault="00680026" w:rsidP="00680026">
                  <w:pPr>
                    <w:rPr>
                      <w:rFonts w:ascii="Arial" w:hAnsi="Arial" w:cs="Arial"/>
                      <w:b/>
                      <w:color w:val="0070C0"/>
                      <w:sz w:val="20"/>
                      <w:szCs w:val="20"/>
                    </w:rPr>
                  </w:pPr>
                  <w:r w:rsidRPr="00680026">
                    <w:rPr>
                      <w:rFonts w:ascii="Arial" w:hAnsi="Arial" w:cs="Arial"/>
                      <w:b/>
                      <w:color w:val="0070C0"/>
                      <w:sz w:val="20"/>
                      <w:szCs w:val="20"/>
                    </w:rPr>
                    <w:t>Total</w:t>
                  </w:r>
                </w:p>
              </w:tc>
              <w:tc>
                <w:tcPr>
                  <w:tcW w:w="804" w:type="dxa"/>
                  <w:vAlign w:val="bottom"/>
                </w:tcPr>
                <w:p w:rsidR="00680026" w:rsidRPr="00680026" w:rsidRDefault="00680026" w:rsidP="00680026">
                  <w:pPr>
                    <w:jc w:val="center"/>
                    <w:rPr>
                      <w:rFonts w:ascii="Arial" w:hAnsi="Arial" w:cs="Arial"/>
                      <w:b/>
                      <w:color w:val="0070C0"/>
                      <w:sz w:val="20"/>
                      <w:szCs w:val="20"/>
                    </w:rPr>
                  </w:pPr>
                  <w:r w:rsidRPr="00680026">
                    <w:rPr>
                      <w:rFonts w:ascii="Arial" w:hAnsi="Arial" w:cs="Arial"/>
                      <w:b/>
                      <w:color w:val="0070C0"/>
                      <w:sz w:val="20"/>
                      <w:szCs w:val="20"/>
                    </w:rPr>
                    <w:t>73.19%</w:t>
                  </w:r>
                </w:p>
              </w:tc>
              <w:tc>
                <w:tcPr>
                  <w:tcW w:w="820" w:type="dxa"/>
                  <w:vAlign w:val="bottom"/>
                </w:tcPr>
                <w:p w:rsidR="00680026" w:rsidRPr="00680026" w:rsidRDefault="00680026" w:rsidP="00680026">
                  <w:pPr>
                    <w:jc w:val="center"/>
                    <w:rPr>
                      <w:rFonts w:ascii="Arial" w:hAnsi="Arial" w:cs="Arial"/>
                      <w:b/>
                      <w:bCs/>
                      <w:color w:val="0070C0"/>
                      <w:sz w:val="20"/>
                      <w:szCs w:val="20"/>
                    </w:rPr>
                  </w:pPr>
                  <w:r w:rsidRPr="00680026">
                    <w:rPr>
                      <w:rFonts w:ascii="Arial" w:hAnsi="Arial" w:cs="Arial"/>
                      <w:b/>
                      <w:bCs/>
                      <w:color w:val="0070C0"/>
                      <w:sz w:val="20"/>
                      <w:szCs w:val="20"/>
                    </w:rPr>
                    <w:t>22.84%</w:t>
                  </w:r>
                </w:p>
              </w:tc>
              <w:tc>
                <w:tcPr>
                  <w:tcW w:w="706" w:type="dxa"/>
                  <w:vAlign w:val="bottom"/>
                </w:tcPr>
                <w:p w:rsidR="00680026" w:rsidRPr="00680026" w:rsidRDefault="00680026" w:rsidP="00680026">
                  <w:pPr>
                    <w:jc w:val="center"/>
                    <w:rPr>
                      <w:rFonts w:ascii="Arial" w:hAnsi="Arial" w:cs="Arial"/>
                      <w:b/>
                      <w:bCs/>
                      <w:color w:val="0070C0"/>
                      <w:sz w:val="20"/>
                      <w:szCs w:val="20"/>
                    </w:rPr>
                  </w:pPr>
                  <w:r w:rsidRPr="00680026">
                    <w:rPr>
                      <w:rFonts w:ascii="Arial" w:hAnsi="Arial" w:cs="Arial"/>
                      <w:b/>
                      <w:bCs/>
                      <w:color w:val="0070C0"/>
                      <w:sz w:val="20"/>
                      <w:szCs w:val="20"/>
                    </w:rPr>
                    <w:t>3.97%</w:t>
                  </w:r>
                </w:p>
              </w:tc>
              <w:tc>
                <w:tcPr>
                  <w:tcW w:w="882" w:type="dxa"/>
                  <w:vAlign w:val="bottom"/>
                </w:tcPr>
                <w:p w:rsidR="00680026" w:rsidRPr="00680026" w:rsidRDefault="00680026" w:rsidP="00680026">
                  <w:pPr>
                    <w:jc w:val="center"/>
                    <w:rPr>
                      <w:rFonts w:ascii="Arial" w:hAnsi="Arial" w:cs="Arial"/>
                      <w:b/>
                      <w:bCs/>
                      <w:color w:val="0070C0"/>
                      <w:sz w:val="20"/>
                      <w:szCs w:val="20"/>
                    </w:rPr>
                  </w:pPr>
                  <w:r w:rsidRPr="00680026">
                    <w:rPr>
                      <w:rFonts w:ascii="Arial" w:hAnsi="Arial" w:cs="Arial"/>
                      <w:b/>
                      <w:bCs/>
                      <w:color w:val="0070C0"/>
                      <w:sz w:val="20"/>
                      <w:szCs w:val="20"/>
                    </w:rPr>
                    <w:t>26.57%</w:t>
                  </w:r>
                </w:p>
              </w:tc>
              <w:tc>
                <w:tcPr>
                  <w:tcW w:w="770" w:type="dxa"/>
                  <w:vAlign w:val="bottom"/>
                </w:tcPr>
                <w:p w:rsidR="00680026" w:rsidRPr="00680026" w:rsidRDefault="00680026" w:rsidP="00680026">
                  <w:pPr>
                    <w:jc w:val="center"/>
                    <w:rPr>
                      <w:rFonts w:ascii="Arial" w:hAnsi="Arial" w:cs="Arial"/>
                      <w:b/>
                      <w:bCs/>
                      <w:color w:val="0070C0"/>
                      <w:sz w:val="20"/>
                      <w:szCs w:val="20"/>
                    </w:rPr>
                  </w:pPr>
                  <w:r w:rsidRPr="00680026">
                    <w:rPr>
                      <w:rFonts w:ascii="Arial" w:hAnsi="Arial" w:cs="Arial"/>
                      <w:b/>
                      <w:bCs/>
                      <w:color w:val="0070C0"/>
                      <w:sz w:val="20"/>
                      <w:szCs w:val="20"/>
                    </w:rPr>
                    <w:t>3.54%</w:t>
                  </w:r>
                </w:p>
              </w:tc>
              <w:tc>
                <w:tcPr>
                  <w:tcW w:w="770" w:type="dxa"/>
                  <w:vAlign w:val="bottom"/>
                </w:tcPr>
                <w:p w:rsidR="00680026" w:rsidRPr="00680026" w:rsidRDefault="00680026" w:rsidP="00680026">
                  <w:pPr>
                    <w:jc w:val="center"/>
                    <w:rPr>
                      <w:rFonts w:ascii="Arial" w:hAnsi="Arial" w:cs="Arial"/>
                      <w:b/>
                      <w:bCs/>
                      <w:color w:val="0070C0"/>
                      <w:sz w:val="20"/>
                      <w:szCs w:val="20"/>
                    </w:rPr>
                  </w:pPr>
                  <w:r w:rsidRPr="00680026">
                    <w:rPr>
                      <w:rFonts w:ascii="Arial" w:hAnsi="Arial" w:cs="Arial"/>
                      <w:b/>
                      <w:bCs/>
                      <w:color w:val="0070C0"/>
                      <w:sz w:val="20"/>
                      <w:szCs w:val="20"/>
                    </w:rPr>
                    <w:t>0.88%</w:t>
                  </w:r>
                </w:p>
              </w:tc>
              <w:tc>
                <w:tcPr>
                  <w:tcW w:w="882" w:type="dxa"/>
                  <w:vAlign w:val="bottom"/>
                </w:tcPr>
                <w:p w:rsidR="00680026" w:rsidRPr="00680026" w:rsidRDefault="00680026" w:rsidP="00680026">
                  <w:pPr>
                    <w:jc w:val="center"/>
                    <w:rPr>
                      <w:rFonts w:ascii="Arial" w:hAnsi="Arial" w:cs="Arial"/>
                      <w:b/>
                      <w:bCs/>
                      <w:color w:val="0070C0"/>
                      <w:sz w:val="20"/>
                      <w:szCs w:val="20"/>
                    </w:rPr>
                  </w:pPr>
                  <w:r w:rsidRPr="00680026">
                    <w:rPr>
                      <w:rFonts w:ascii="Arial" w:hAnsi="Arial" w:cs="Arial"/>
                      <w:b/>
                      <w:bCs/>
                      <w:color w:val="0070C0"/>
                      <w:sz w:val="20"/>
                      <w:szCs w:val="20"/>
                    </w:rPr>
                    <w:t>46.62%</w:t>
                  </w:r>
                </w:p>
              </w:tc>
              <w:tc>
                <w:tcPr>
                  <w:tcW w:w="882" w:type="dxa"/>
                  <w:vAlign w:val="bottom"/>
                </w:tcPr>
                <w:p w:rsidR="00680026" w:rsidRPr="00680026" w:rsidRDefault="00680026" w:rsidP="00680026">
                  <w:pPr>
                    <w:jc w:val="center"/>
                    <w:rPr>
                      <w:rFonts w:ascii="Arial" w:hAnsi="Arial" w:cs="Arial"/>
                      <w:b/>
                      <w:bCs/>
                      <w:color w:val="0070C0"/>
                      <w:sz w:val="20"/>
                      <w:szCs w:val="20"/>
                    </w:rPr>
                  </w:pPr>
                  <w:r w:rsidRPr="00680026">
                    <w:rPr>
                      <w:rFonts w:ascii="Arial" w:hAnsi="Arial" w:cs="Arial"/>
                      <w:b/>
                      <w:bCs/>
                      <w:color w:val="0070C0"/>
                      <w:sz w:val="20"/>
                      <w:szCs w:val="20"/>
                    </w:rPr>
                    <w:t>19.30%</w:t>
                  </w:r>
                </w:p>
              </w:tc>
              <w:tc>
                <w:tcPr>
                  <w:tcW w:w="706" w:type="dxa"/>
                  <w:vAlign w:val="bottom"/>
                </w:tcPr>
                <w:p w:rsidR="00680026" w:rsidRPr="00680026" w:rsidRDefault="00680026" w:rsidP="00680026">
                  <w:pPr>
                    <w:jc w:val="center"/>
                    <w:rPr>
                      <w:rFonts w:ascii="Arial" w:hAnsi="Arial" w:cs="Arial"/>
                      <w:b/>
                      <w:bCs/>
                      <w:color w:val="0070C0"/>
                      <w:sz w:val="20"/>
                      <w:szCs w:val="20"/>
                    </w:rPr>
                  </w:pPr>
                  <w:r w:rsidRPr="00680026">
                    <w:rPr>
                      <w:rFonts w:ascii="Arial" w:hAnsi="Arial" w:cs="Arial"/>
                      <w:b/>
                      <w:bCs/>
                      <w:color w:val="0070C0"/>
                      <w:sz w:val="20"/>
                      <w:szCs w:val="20"/>
                    </w:rPr>
                    <w:t>3.09%</w:t>
                  </w:r>
                </w:p>
              </w:tc>
            </w:tr>
          </w:tbl>
          <w:p w:rsidR="00B8147F" w:rsidRPr="00680026" w:rsidRDefault="00B8147F" w:rsidP="00680026">
            <w:pPr>
              <w:rPr>
                <w:rFonts w:ascii="Arial" w:eastAsia="Times New Roman" w:hAnsi="Arial" w:cs="Arial"/>
                <w:b/>
                <w:bCs/>
                <w:sz w:val="24"/>
                <w:szCs w:val="24"/>
                <w:lang w:eastAsia="en-GB"/>
              </w:rPr>
            </w:pPr>
          </w:p>
        </w:tc>
      </w:tr>
    </w:tbl>
    <w:p w:rsidR="00680026" w:rsidRDefault="00680026" w:rsidP="001F7F0A">
      <w:pPr>
        <w:rPr>
          <w:rFonts w:ascii="Arial" w:hAnsi="Arial" w:cs="Arial"/>
          <w:sz w:val="24"/>
          <w:szCs w:val="24"/>
          <w:highlight w:val="yellow"/>
        </w:rPr>
      </w:pPr>
    </w:p>
    <w:p w:rsidR="001F7F0A" w:rsidRPr="00D36CC2" w:rsidRDefault="00217058" w:rsidP="001F7F0A">
      <w:pPr>
        <w:rPr>
          <w:rFonts w:ascii="Arial" w:hAnsi="Arial" w:cs="Arial"/>
          <w:sz w:val="24"/>
          <w:szCs w:val="24"/>
        </w:rPr>
      </w:pPr>
      <w:r w:rsidRPr="00D36CC2">
        <w:rPr>
          <w:rFonts w:ascii="Arial" w:hAnsi="Arial" w:cs="Arial"/>
          <w:sz w:val="24"/>
          <w:szCs w:val="24"/>
        </w:rPr>
        <w:t>T</w:t>
      </w:r>
      <w:r w:rsidR="001F7F0A" w:rsidRPr="00D36CC2">
        <w:rPr>
          <w:rFonts w:ascii="Arial" w:hAnsi="Arial" w:cs="Arial"/>
          <w:sz w:val="24"/>
          <w:szCs w:val="24"/>
        </w:rPr>
        <w:t xml:space="preserve">he implications of the data and any additional background explanatory narrative </w:t>
      </w:r>
    </w:p>
    <w:p w:rsidR="006F62C2" w:rsidRPr="00D36CC2" w:rsidRDefault="000B18EC" w:rsidP="006F62C2">
      <w:pPr>
        <w:rPr>
          <w:rFonts w:ascii="Arial" w:hAnsi="Arial" w:cs="Arial"/>
          <w:color w:val="0070C0"/>
          <w:sz w:val="24"/>
          <w:szCs w:val="24"/>
        </w:rPr>
      </w:pPr>
      <w:r w:rsidRPr="00D36CC2">
        <w:rPr>
          <w:rFonts w:ascii="Arial" w:hAnsi="Arial" w:cs="Arial"/>
          <w:color w:val="0070C0"/>
          <w:sz w:val="24"/>
          <w:szCs w:val="24"/>
        </w:rPr>
        <w:t>3.</w:t>
      </w:r>
      <w:r w:rsidR="00D36CC2" w:rsidRPr="00D36CC2">
        <w:rPr>
          <w:rFonts w:ascii="Arial" w:hAnsi="Arial" w:cs="Arial"/>
          <w:color w:val="0070C0"/>
          <w:sz w:val="24"/>
          <w:szCs w:val="24"/>
        </w:rPr>
        <w:t>88</w:t>
      </w:r>
      <w:r w:rsidR="006F62C2" w:rsidRPr="00D36CC2">
        <w:rPr>
          <w:rFonts w:ascii="Arial" w:hAnsi="Arial" w:cs="Arial"/>
          <w:color w:val="0070C0"/>
          <w:sz w:val="24"/>
          <w:szCs w:val="24"/>
        </w:rPr>
        <w:t xml:space="preserve"> % of the overall workforce have a null or not stated entry for their ethnicity on ESR (Electronic Staff Record).</w:t>
      </w:r>
    </w:p>
    <w:p w:rsidR="006E4742" w:rsidRPr="00D36CC2" w:rsidRDefault="006E4742" w:rsidP="006E4742">
      <w:pPr>
        <w:rPr>
          <w:rFonts w:ascii="Arial" w:hAnsi="Arial" w:cs="Arial"/>
          <w:color w:val="0070C0"/>
          <w:sz w:val="24"/>
          <w:szCs w:val="24"/>
        </w:rPr>
      </w:pPr>
      <w:r w:rsidRPr="00D36CC2">
        <w:rPr>
          <w:rFonts w:ascii="Arial" w:hAnsi="Arial" w:cs="Arial"/>
          <w:color w:val="0070C0"/>
          <w:sz w:val="24"/>
          <w:szCs w:val="24"/>
        </w:rPr>
        <w:t>The 2011 Northampton</w:t>
      </w:r>
      <w:r w:rsidR="00EC4555" w:rsidRPr="00D36CC2">
        <w:rPr>
          <w:rFonts w:ascii="Arial" w:hAnsi="Arial" w:cs="Arial"/>
          <w:color w:val="0070C0"/>
          <w:sz w:val="24"/>
          <w:szCs w:val="24"/>
        </w:rPr>
        <w:t xml:space="preserve"> Ce</w:t>
      </w:r>
      <w:r w:rsidRPr="00D36CC2">
        <w:rPr>
          <w:rFonts w:ascii="Arial" w:hAnsi="Arial" w:cs="Arial"/>
          <w:color w:val="0070C0"/>
          <w:sz w:val="24"/>
          <w:szCs w:val="24"/>
        </w:rPr>
        <w:t xml:space="preserve">nsus reported </w:t>
      </w:r>
      <w:r w:rsidR="00EC4555" w:rsidRPr="00D36CC2">
        <w:rPr>
          <w:rFonts w:ascii="Arial" w:hAnsi="Arial" w:cs="Arial"/>
          <w:color w:val="0070C0"/>
          <w:sz w:val="24"/>
          <w:szCs w:val="24"/>
        </w:rPr>
        <w:t>15.5</w:t>
      </w:r>
      <w:r w:rsidRPr="00D36CC2">
        <w:rPr>
          <w:rFonts w:ascii="Arial" w:hAnsi="Arial" w:cs="Arial"/>
          <w:color w:val="0070C0"/>
          <w:sz w:val="24"/>
          <w:szCs w:val="24"/>
        </w:rPr>
        <w:t>% of the population were BME.</w:t>
      </w:r>
    </w:p>
    <w:p w:rsidR="00936A34" w:rsidRPr="00D36CC2" w:rsidRDefault="006F62C2" w:rsidP="006F62C2">
      <w:pPr>
        <w:rPr>
          <w:rFonts w:ascii="Arial" w:hAnsi="Arial" w:cs="Arial"/>
          <w:color w:val="0070C0"/>
          <w:sz w:val="24"/>
          <w:szCs w:val="24"/>
        </w:rPr>
      </w:pPr>
      <w:r w:rsidRPr="00D36CC2">
        <w:rPr>
          <w:rFonts w:ascii="Arial" w:hAnsi="Arial" w:cs="Arial"/>
          <w:color w:val="0070C0"/>
          <w:sz w:val="24"/>
          <w:szCs w:val="24"/>
        </w:rPr>
        <w:t>There has been a</w:t>
      </w:r>
      <w:r w:rsidR="00DE2573" w:rsidRPr="00D36CC2">
        <w:rPr>
          <w:rFonts w:ascii="Arial" w:hAnsi="Arial" w:cs="Arial"/>
          <w:color w:val="0070C0"/>
          <w:sz w:val="24"/>
          <w:szCs w:val="24"/>
        </w:rPr>
        <w:t xml:space="preserve">n </w:t>
      </w:r>
      <w:r w:rsidRPr="00D36CC2">
        <w:rPr>
          <w:rFonts w:ascii="Arial" w:hAnsi="Arial" w:cs="Arial"/>
          <w:color w:val="0070C0"/>
          <w:sz w:val="24"/>
          <w:szCs w:val="24"/>
        </w:rPr>
        <w:t>increase of BME staff in the overall workforce</w:t>
      </w:r>
      <w:r w:rsidR="00DE2573" w:rsidRPr="00D36CC2">
        <w:rPr>
          <w:rFonts w:ascii="Arial" w:hAnsi="Arial" w:cs="Arial"/>
          <w:color w:val="0070C0"/>
          <w:sz w:val="24"/>
          <w:szCs w:val="24"/>
        </w:rPr>
        <w:t xml:space="preserve">, for the </w:t>
      </w:r>
      <w:r w:rsidR="00D36CC2" w:rsidRPr="00D36CC2">
        <w:rPr>
          <w:rFonts w:ascii="Arial" w:hAnsi="Arial" w:cs="Arial"/>
          <w:color w:val="0070C0"/>
          <w:sz w:val="24"/>
          <w:szCs w:val="24"/>
        </w:rPr>
        <w:t>fourth</w:t>
      </w:r>
      <w:r w:rsidR="00936A34" w:rsidRPr="00D36CC2">
        <w:rPr>
          <w:rFonts w:ascii="Arial" w:hAnsi="Arial" w:cs="Arial"/>
          <w:color w:val="0070C0"/>
          <w:sz w:val="24"/>
          <w:szCs w:val="24"/>
        </w:rPr>
        <w:t xml:space="preserve"> </w:t>
      </w:r>
      <w:r w:rsidR="00DE2573" w:rsidRPr="00D36CC2">
        <w:rPr>
          <w:rFonts w:ascii="Arial" w:hAnsi="Arial" w:cs="Arial"/>
          <w:color w:val="0070C0"/>
          <w:sz w:val="24"/>
          <w:szCs w:val="24"/>
        </w:rPr>
        <w:t xml:space="preserve">year in a row </w:t>
      </w:r>
      <w:r w:rsidR="00A10E77" w:rsidRPr="00D36CC2">
        <w:rPr>
          <w:rFonts w:ascii="Arial" w:hAnsi="Arial" w:cs="Arial"/>
          <w:color w:val="0070C0"/>
          <w:sz w:val="24"/>
          <w:szCs w:val="24"/>
        </w:rPr>
        <w:t>to 2</w:t>
      </w:r>
      <w:r w:rsidR="00D36CC2" w:rsidRPr="00D36CC2">
        <w:rPr>
          <w:rFonts w:ascii="Arial" w:hAnsi="Arial" w:cs="Arial"/>
          <w:color w:val="0070C0"/>
          <w:sz w:val="24"/>
          <w:szCs w:val="24"/>
        </w:rPr>
        <w:t>4.43</w:t>
      </w:r>
      <w:r w:rsidR="00A10E77" w:rsidRPr="00D36CC2">
        <w:rPr>
          <w:rFonts w:ascii="Arial" w:hAnsi="Arial" w:cs="Arial"/>
          <w:color w:val="0070C0"/>
          <w:sz w:val="24"/>
          <w:szCs w:val="24"/>
        </w:rPr>
        <w:t xml:space="preserve">%.  Overall the number of BME staff at the Trust </w:t>
      </w:r>
      <w:r w:rsidR="00DE2573" w:rsidRPr="00D36CC2">
        <w:rPr>
          <w:rFonts w:ascii="Arial" w:hAnsi="Arial" w:cs="Arial"/>
          <w:color w:val="0070C0"/>
          <w:sz w:val="24"/>
          <w:szCs w:val="24"/>
        </w:rPr>
        <w:t xml:space="preserve">has increased by </w:t>
      </w:r>
      <w:r w:rsidR="00D36CC2" w:rsidRPr="00D36CC2">
        <w:rPr>
          <w:rFonts w:ascii="Arial" w:hAnsi="Arial" w:cs="Arial"/>
          <w:color w:val="0070C0"/>
          <w:sz w:val="24"/>
          <w:szCs w:val="24"/>
        </w:rPr>
        <w:t>4.43</w:t>
      </w:r>
      <w:r w:rsidR="00936A34" w:rsidRPr="00D36CC2">
        <w:rPr>
          <w:rFonts w:ascii="Arial" w:hAnsi="Arial" w:cs="Arial"/>
          <w:color w:val="0070C0"/>
          <w:sz w:val="24"/>
          <w:szCs w:val="24"/>
        </w:rPr>
        <w:t>%</w:t>
      </w:r>
      <w:r w:rsidRPr="00D36CC2">
        <w:rPr>
          <w:rFonts w:ascii="Arial" w:hAnsi="Arial" w:cs="Arial"/>
          <w:color w:val="0070C0"/>
          <w:sz w:val="24"/>
          <w:szCs w:val="24"/>
        </w:rPr>
        <w:t xml:space="preserve"> since</w:t>
      </w:r>
      <w:r w:rsidR="00936A34" w:rsidRPr="00D36CC2">
        <w:rPr>
          <w:rFonts w:ascii="Arial" w:hAnsi="Arial" w:cs="Arial"/>
          <w:color w:val="0070C0"/>
          <w:sz w:val="24"/>
          <w:szCs w:val="24"/>
        </w:rPr>
        <w:t xml:space="preserve"> WRES reporting commenced in </w:t>
      </w:r>
      <w:r w:rsidRPr="00D36CC2">
        <w:rPr>
          <w:rFonts w:ascii="Arial" w:hAnsi="Arial" w:cs="Arial"/>
          <w:color w:val="0070C0"/>
          <w:sz w:val="24"/>
          <w:szCs w:val="24"/>
        </w:rPr>
        <w:t>201</w:t>
      </w:r>
      <w:r w:rsidR="00DE2573" w:rsidRPr="00D36CC2">
        <w:rPr>
          <w:rFonts w:ascii="Arial" w:hAnsi="Arial" w:cs="Arial"/>
          <w:color w:val="0070C0"/>
          <w:sz w:val="24"/>
          <w:szCs w:val="24"/>
        </w:rPr>
        <w:t>7</w:t>
      </w:r>
      <w:r w:rsidRPr="00D36CC2">
        <w:rPr>
          <w:rFonts w:ascii="Arial" w:hAnsi="Arial" w:cs="Arial"/>
          <w:color w:val="0070C0"/>
          <w:sz w:val="24"/>
          <w:szCs w:val="24"/>
        </w:rPr>
        <w:t xml:space="preserve">.  </w:t>
      </w:r>
    </w:p>
    <w:p w:rsidR="006F62C2" w:rsidRPr="00D36CC2" w:rsidRDefault="006F62C2" w:rsidP="006F62C2">
      <w:pPr>
        <w:rPr>
          <w:rFonts w:ascii="Arial" w:hAnsi="Arial" w:cs="Arial"/>
          <w:color w:val="0070C0"/>
          <w:sz w:val="24"/>
          <w:szCs w:val="24"/>
        </w:rPr>
      </w:pPr>
      <w:r w:rsidRPr="00D36CC2">
        <w:rPr>
          <w:rFonts w:ascii="Arial" w:hAnsi="Arial" w:cs="Arial"/>
          <w:color w:val="0070C0"/>
          <w:sz w:val="24"/>
          <w:szCs w:val="24"/>
        </w:rPr>
        <w:lastRenderedPageBreak/>
        <w:t>The overall BME clinical workforce</w:t>
      </w:r>
      <w:r w:rsidR="00B64BD3" w:rsidRPr="00D36CC2">
        <w:rPr>
          <w:rFonts w:ascii="Arial" w:hAnsi="Arial" w:cs="Arial"/>
          <w:color w:val="0070C0"/>
          <w:sz w:val="24"/>
          <w:szCs w:val="24"/>
        </w:rPr>
        <w:t xml:space="preserve"> has </w:t>
      </w:r>
      <w:r w:rsidR="00DE2573" w:rsidRPr="00D36CC2">
        <w:rPr>
          <w:rFonts w:ascii="Arial" w:hAnsi="Arial" w:cs="Arial"/>
          <w:color w:val="0070C0"/>
          <w:sz w:val="24"/>
          <w:szCs w:val="24"/>
        </w:rPr>
        <w:t xml:space="preserve">also </w:t>
      </w:r>
      <w:r w:rsidR="00B64BD3" w:rsidRPr="00D36CC2">
        <w:rPr>
          <w:rFonts w:ascii="Arial" w:hAnsi="Arial" w:cs="Arial"/>
          <w:color w:val="0070C0"/>
          <w:sz w:val="24"/>
          <w:szCs w:val="24"/>
        </w:rPr>
        <w:t xml:space="preserve">increased </w:t>
      </w:r>
      <w:r w:rsidR="00DE2573" w:rsidRPr="00D36CC2">
        <w:rPr>
          <w:rFonts w:ascii="Arial" w:hAnsi="Arial" w:cs="Arial"/>
          <w:color w:val="0070C0"/>
          <w:sz w:val="24"/>
          <w:szCs w:val="24"/>
        </w:rPr>
        <w:t>for the</w:t>
      </w:r>
      <w:r w:rsidR="00936A34" w:rsidRPr="00D36CC2">
        <w:rPr>
          <w:rFonts w:ascii="Arial" w:hAnsi="Arial" w:cs="Arial"/>
          <w:color w:val="0070C0"/>
          <w:sz w:val="24"/>
          <w:szCs w:val="24"/>
        </w:rPr>
        <w:t xml:space="preserve"> </w:t>
      </w:r>
      <w:r w:rsidR="00D36CC2" w:rsidRPr="00D36CC2">
        <w:rPr>
          <w:rFonts w:ascii="Arial" w:hAnsi="Arial" w:cs="Arial"/>
          <w:color w:val="0070C0"/>
          <w:sz w:val="24"/>
          <w:szCs w:val="24"/>
        </w:rPr>
        <w:t xml:space="preserve">fourth </w:t>
      </w:r>
      <w:r w:rsidR="00DE2573" w:rsidRPr="00D36CC2">
        <w:rPr>
          <w:rFonts w:ascii="Arial" w:hAnsi="Arial" w:cs="Arial"/>
          <w:color w:val="0070C0"/>
          <w:sz w:val="24"/>
          <w:szCs w:val="24"/>
        </w:rPr>
        <w:t xml:space="preserve">consecutive year and is now </w:t>
      </w:r>
      <w:r w:rsidR="00D36CC2" w:rsidRPr="00D36CC2">
        <w:rPr>
          <w:rFonts w:ascii="Arial" w:hAnsi="Arial" w:cs="Arial"/>
          <w:color w:val="0070C0"/>
          <w:sz w:val="24"/>
          <w:szCs w:val="24"/>
        </w:rPr>
        <w:t>20.71</w:t>
      </w:r>
      <w:r w:rsidRPr="00D36CC2">
        <w:rPr>
          <w:rFonts w:ascii="Arial" w:hAnsi="Arial" w:cs="Arial"/>
          <w:color w:val="0070C0"/>
          <w:sz w:val="24"/>
          <w:szCs w:val="24"/>
        </w:rPr>
        <w:t>%</w:t>
      </w:r>
      <w:r w:rsidR="00DE2573" w:rsidRPr="00D36CC2">
        <w:rPr>
          <w:rFonts w:ascii="Arial" w:hAnsi="Arial" w:cs="Arial"/>
          <w:color w:val="0070C0"/>
          <w:sz w:val="24"/>
          <w:szCs w:val="24"/>
        </w:rPr>
        <w:t xml:space="preserve">.  </w:t>
      </w:r>
      <w:r w:rsidR="00936A34" w:rsidRPr="00D36CC2">
        <w:rPr>
          <w:rFonts w:ascii="Arial" w:hAnsi="Arial" w:cs="Arial"/>
          <w:color w:val="0070C0"/>
          <w:sz w:val="24"/>
          <w:szCs w:val="24"/>
        </w:rPr>
        <w:t xml:space="preserve">BME staff in the </w:t>
      </w:r>
      <w:r w:rsidRPr="00D36CC2">
        <w:rPr>
          <w:rFonts w:ascii="Arial" w:hAnsi="Arial" w:cs="Arial"/>
          <w:color w:val="0070C0"/>
          <w:sz w:val="24"/>
          <w:szCs w:val="24"/>
        </w:rPr>
        <w:t xml:space="preserve">non-clinical workforce </w:t>
      </w:r>
      <w:r w:rsidR="00B64BD3" w:rsidRPr="00D36CC2">
        <w:rPr>
          <w:rFonts w:ascii="Arial" w:hAnsi="Arial" w:cs="Arial"/>
          <w:color w:val="0070C0"/>
          <w:sz w:val="24"/>
          <w:szCs w:val="24"/>
        </w:rPr>
        <w:t xml:space="preserve">has </w:t>
      </w:r>
      <w:r w:rsidR="00A10E77" w:rsidRPr="00D36CC2">
        <w:rPr>
          <w:rFonts w:ascii="Arial" w:hAnsi="Arial" w:cs="Arial"/>
          <w:color w:val="0070C0"/>
          <w:sz w:val="24"/>
          <w:szCs w:val="24"/>
        </w:rPr>
        <w:t xml:space="preserve">again </w:t>
      </w:r>
      <w:r w:rsidR="00936A34" w:rsidRPr="00D36CC2">
        <w:rPr>
          <w:rFonts w:ascii="Arial" w:hAnsi="Arial" w:cs="Arial"/>
          <w:color w:val="0070C0"/>
          <w:sz w:val="24"/>
          <w:szCs w:val="24"/>
        </w:rPr>
        <w:t>increase</w:t>
      </w:r>
      <w:r w:rsidR="00A10E77" w:rsidRPr="00D36CC2">
        <w:rPr>
          <w:rFonts w:ascii="Arial" w:hAnsi="Arial" w:cs="Arial"/>
          <w:color w:val="0070C0"/>
          <w:sz w:val="24"/>
          <w:szCs w:val="24"/>
        </w:rPr>
        <w:t>d</w:t>
      </w:r>
      <w:r w:rsidR="00936A34" w:rsidRPr="00D36CC2">
        <w:rPr>
          <w:rFonts w:ascii="Arial" w:hAnsi="Arial" w:cs="Arial"/>
          <w:color w:val="0070C0"/>
          <w:sz w:val="24"/>
          <w:szCs w:val="24"/>
        </w:rPr>
        <w:t xml:space="preserve"> since 2018 to </w:t>
      </w:r>
      <w:r w:rsidR="00D36CC2" w:rsidRPr="00D36CC2">
        <w:rPr>
          <w:rFonts w:ascii="Arial" w:hAnsi="Arial" w:cs="Arial"/>
          <w:color w:val="0070C0"/>
          <w:sz w:val="24"/>
          <w:szCs w:val="24"/>
        </w:rPr>
        <w:t>3.72</w:t>
      </w:r>
      <w:r w:rsidR="00B64BD3" w:rsidRPr="00D36CC2">
        <w:rPr>
          <w:rFonts w:ascii="Arial" w:hAnsi="Arial" w:cs="Arial"/>
          <w:color w:val="0070C0"/>
          <w:sz w:val="24"/>
          <w:szCs w:val="24"/>
        </w:rPr>
        <w:t>%</w:t>
      </w:r>
      <w:r w:rsidRPr="00D36CC2">
        <w:rPr>
          <w:rFonts w:ascii="Arial" w:hAnsi="Arial" w:cs="Arial"/>
          <w:color w:val="0070C0"/>
          <w:sz w:val="24"/>
          <w:szCs w:val="24"/>
        </w:rPr>
        <w:t>.</w:t>
      </w:r>
    </w:p>
    <w:p w:rsidR="006F62C2" w:rsidRPr="00D36CC2" w:rsidRDefault="006F62C2" w:rsidP="006F62C2">
      <w:pPr>
        <w:rPr>
          <w:rFonts w:ascii="Arial" w:hAnsi="Arial" w:cs="Arial"/>
          <w:color w:val="0070C0"/>
          <w:sz w:val="24"/>
          <w:szCs w:val="24"/>
        </w:rPr>
      </w:pPr>
      <w:r w:rsidRPr="00D36CC2">
        <w:rPr>
          <w:rFonts w:ascii="Arial" w:hAnsi="Arial" w:cs="Arial"/>
          <w:color w:val="0070C0"/>
          <w:sz w:val="24"/>
          <w:szCs w:val="24"/>
        </w:rPr>
        <w:t>Within the clinical workforce</w:t>
      </w:r>
      <w:r w:rsidR="000F2D06" w:rsidRPr="00D36CC2">
        <w:rPr>
          <w:rFonts w:ascii="Arial" w:hAnsi="Arial" w:cs="Arial"/>
          <w:color w:val="0070C0"/>
          <w:sz w:val="24"/>
          <w:szCs w:val="24"/>
        </w:rPr>
        <w:t xml:space="preserve">, </w:t>
      </w:r>
      <w:r w:rsidRPr="00D36CC2">
        <w:rPr>
          <w:rFonts w:ascii="Arial" w:hAnsi="Arial" w:cs="Arial"/>
          <w:color w:val="0070C0"/>
          <w:sz w:val="24"/>
          <w:szCs w:val="24"/>
        </w:rPr>
        <w:t>Band 5 has the highest number of BME staff</w:t>
      </w:r>
      <w:r w:rsidR="00DE2573" w:rsidRPr="00D36CC2">
        <w:rPr>
          <w:rFonts w:ascii="Arial" w:hAnsi="Arial" w:cs="Arial"/>
          <w:color w:val="0070C0"/>
          <w:sz w:val="24"/>
          <w:szCs w:val="24"/>
        </w:rPr>
        <w:t xml:space="preserve"> at </w:t>
      </w:r>
      <w:r w:rsidR="00D36CC2" w:rsidRPr="00D36CC2">
        <w:rPr>
          <w:rFonts w:ascii="Arial" w:hAnsi="Arial" w:cs="Arial"/>
          <w:color w:val="0070C0"/>
          <w:sz w:val="24"/>
          <w:szCs w:val="24"/>
        </w:rPr>
        <w:t>8.17</w:t>
      </w:r>
      <w:r w:rsidR="00DE2573" w:rsidRPr="00D36CC2">
        <w:rPr>
          <w:rFonts w:ascii="Arial" w:hAnsi="Arial" w:cs="Arial"/>
          <w:color w:val="0070C0"/>
          <w:sz w:val="24"/>
          <w:szCs w:val="24"/>
        </w:rPr>
        <w:t xml:space="preserve">%, followed by </w:t>
      </w:r>
      <w:r w:rsidR="00D36CC2" w:rsidRPr="00D36CC2">
        <w:rPr>
          <w:rFonts w:ascii="Arial" w:hAnsi="Arial" w:cs="Arial"/>
          <w:color w:val="0070C0"/>
          <w:sz w:val="24"/>
          <w:szCs w:val="24"/>
        </w:rPr>
        <w:t>Junior</w:t>
      </w:r>
      <w:r w:rsidR="00936A34" w:rsidRPr="00D36CC2">
        <w:rPr>
          <w:rFonts w:ascii="Arial" w:hAnsi="Arial" w:cs="Arial"/>
          <w:color w:val="0070C0"/>
          <w:sz w:val="24"/>
          <w:szCs w:val="24"/>
        </w:rPr>
        <w:t xml:space="preserve"> Doctors at 2.8</w:t>
      </w:r>
      <w:r w:rsidR="00D36CC2" w:rsidRPr="00D36CC2">
        <w:rPr>
          <w:rFonts w:ascii="Arial" w:hAnsi="Arial" w:cs="Arial"/>
          <w:color w:val="0070C0"/>
          <w:sz w:val="24"/>
          <w:szCs w:val="24"/>
        </w:rPr>
        <w:t>0</w:t>
      </w:r>
      <w:r w:rsidR="00DE2573" w:rsidRPr="00D36CC2">
        <w:rPr>
          <w:rFonts w:ascii="Arial" w:hAnsi="Arial" w:cs="Arial"/>
          <w:color w:val="0070C0"/>
          <w:sz w:val="24"/>
          <w:szCs w:val="24"/>
        </w:rPr>
        <w:t>%</w:t>
      </w:r>
      <w:r w:rsidR="000F2D06" w:rsidRPr="00D36CC2">
        <w:rPr>
          <w:rFonts w:ascii="Arial" w:hAnsi="Arial" w:cs="Arial"/>
          <w:color w:val="0070C0"/>
          <w:sz w:val="24"/>
          <w:szCs w:val="24"/>
        </w:rPr>
        <w:t xml:space="preserve">.  </w:t>
      </w:r>
      <w:r w:rsidR="0088321C" w:rsidRPr="00D36CC2">
        <w:rPr>
          <w:rFonts w:ascii="Arial" w:hAnsi="Arial" w:cs="Arial"/>
          <w:color w:val="0070C0"/>
          <w:sz w:val="24"/>
          <w:szCs w:val="24"/>
        </w:rPr>
        <w:t xml:space="preserve">The Trust employs very few staff in </w:t>
      </w:r>
      <w:r w:rsidRPr="00D36CC2">
        <w:rPr>
          <w:rFonts w:ascii="Arial" w:hAnsi="Arial" w:cs="Arial"/>
          <w:color w:val="0070C0"/>
          <w:sz w:val="24"/>
          <w:szCs w:val="24"/>
        </w:rPr>
        <w:t xml:space="preserve">bands 8c, 8d and 9 </w:t>
      </w:r>
      <w:r w:rsidR="0088321C" w:rsidRPr="00D36CC2">
        <w:rPr>
          <w:rFonts w:ascii="Arial" w:hAnsi="Arial" w:cs="Arial"/>
          <w:color w:val="0070C0"/>
          <w:sz w:val="24"/>
          <w:szCs w:val="24"/>
        </w:rPr>
        <w:t xml:space="preserve">and </w:t>
      </w:r>
      <w:r w:rsidRPr="00D36CC2">
        <w:rPr>
          <w:rFonts w:ascii="Arial" w:hAnsi="Arial" w:cs="Arial"/>
          <w:color w:val="0070C0"/>
          <w:sz w:val="24"/>
          <w:szCs w:val="24"/>
        </w:rPr>
        <w:t>Very Senior Managers</w:t>
      </w:r>
      <w:r w:rsidR="0088321C" w:rsidRPr="00D36CC2">
        <w:rPr>
          <w:rFonts w:ascii="Arial" w:hAnsi="Arial" w:cs="Arial"/>
          <w:color w:val="0070C0"/>
          <w:sz w:val="24"/>
          <w:szCs w:val="24"/>
        </w:rPr>
        <w:t xml:space="preserve"> and at the </w:t>
      </w:r>
      <w:r w:rsidR="00304A31" w:rsidRPr="00D36CC2">
        <w:rPr>
          <w:rFonts w:ascii="Arial" w:hAnsi="Arial" w:cs="Arial"/>
          <w:color w:val="0070C0"/>
          <w:sz w:val="24"/>
          <w:szCs w:val="24"/>
        </w:rPr>
        <w:t>time of the report h</w:t>
      </w:r>
      <w:r w:rsidR="0088321C" w:rsidRPr="00D36CC2">
        <w:rPr>
          <w:rFonts w:ascii="Arial" w:hAnsi="Arial" w:cs="Arial"/>
          <w:color w:val="0070C0"/>
          <w:sz w:val="24"/>
          <w:szCs w:val="24"/>
        </w:rPr>
        <w:t>as no BME staff in these bands</w:t>
      </w:r>
      <w:r w:rsidR="00304A31" w:rsidRPr="00D36CC2">
        <w:rPr>
          <w:rFonts w:ascii="Arial" w:hAnsi="Arial" w:cs="Arial"/>
          <w:color w:val="0070C0"/>
          <w:sz w:val="24"/>
          <w:szCs w:val="24"/>
        </w:rPr>
        <w:t>/grades</w:t>
      </w:r>
      <w:r w:rsidR="00AF5248" w:rsidRPr="00D36CC2">
        <w:rPr>
          <w:rFonts w:ascii="Arial" w:hAnsi="Arial" w:cs="Arial"/>
          <w:color w:val="0070C0"/>
          <w:sz w:val="24"/>
          <w:szCs w:val="24"/>
        </w:rPr>
        <w:t xml:space="preserve"> in the clinical workforce</w:t>
      </w:r>
      <w:r w:rsidRPr="00D36CC2">
        <w:rPr>
          <w:rFonts w:ascii="Arial" w:hAnsi="Arial" w:cs="Arial"/>
          <w:color w:val="0070C0"/>
          <w:sz w:val="24"/>
          <w:szCs w:val="24"/>
        </w:rPr>
        <w:t xml:space="preserve">.  </w:t>
      </w:r>
    </w:p>
    <w:p w:rsidR="00B64BD3" w:rsidRPr="00380A5C" w:rsidRDefault="00B64BD3" w:rsidP="00B64BD3">
      <w:pPr>
        <w:rPr>
          <w:rFonts w:ascii="Arial" w:hAnsi="Arial" w:cs="Arial"/>
          <w:color w:val="0070C0"/>
          <w:sz w:val="24"/>
          <w:szCs w:val="24"/>
          <w:highlight w:val="yellow"/>
        </w:rPr>
      </w:pPr>
      <w:r w:rsidRPr="0019797A">
        <w:rPr>
          <w:rFonts w:ascii="Arial" w:hAnsi="Arial" w:cs="Arial"/>
          <w:color w:val="0070C0"/>
          <w:sz w:val="24"/>
          <w:szCs w:val="24"/>
        </w:rPr>
        <w:t xml:space="preserve">There has been </w:t>
      </w:r>
      <w:r w:rsidR="00C80F85" w:rsidRPr="0019797A">
        <w:rPr>
          <w:rFonts w:ascii="Arial" w:hAnsi="Arial" w:cs="Arial"/>
          <w:color w:val="0070C0"/>
          <w:sz w:val="24"/>
          <w:szCs w:val="24"/>
        </w:rPr>
        <w:t>a</w:t>
      </w:r>
      <w:r w:rsidRPr="0019797A">
        <w:rPr>
          <w:rFonts w:ascii="Arial" w:hAnsi="Arial" w:cs="Arial"/>
          <w:color w:val="0070C0"/>
          <w:sz w:val="24"/>
          <w:szCs w:val="24"/>
        </w:rPr>
        <w:t xml:space="preserve"> </w:t>
      </w:r>
      <w:r w:rsidR="00936A34" w:rsidRPr="0019797A">
        <w:rPr>
          <w:rFonts w:ascii="Arial" w:hAnsi="Arial" w:cs="Arial"/>
          <w:color w:val="0070C0"/>
          <w:sz w:val="24"/>
          <w:szCs w:val="24"/>
        </w:rPr>
        <w:t xml:space="preserve">small decrease </w:t>
      </w:r>
      <w:r w:rsidRPr="0019797A">
        <w:rPr>
          <w:rFonts w:ascii="Arial" w:hAnsi="Arial" w:cs="Arial"/>
          <w:color w:val="0070C0"/>
          <w:sz w:val="24"/>
          <w:szCs w:val="24"/>
        </w:rPr>
        <w:t>in BME Consultants</w:t>
      </w:r>
      <w:r w:rsidR="006E4742" w:rsidRPr="0019797A">
        <w:rPr>
          <w:rFonts w:ascii="Arial" w:hAnsi="Arial" w:cs="Arial"/>
          <w:color w:val="0070C0"/>
          <w:sz w:val="24"/>
          <w:szCs w:val="24"/>
        </w:rPr>
        <w:t xml:space="preserve"> of 0.</w:t>
      </w:r>
      <w:r w:rsidR="00D36CC2" w:rsidRPr="0019797A">
        <w:rPr>
          <w:rFonts w:ascii="Arial" w:hAnsi="Arial" w:cs="Arial"/>
          <w:color w:val="0070C0"/>
          <w:sz w:val="24"/>
          <w:szCs w:val="24"/>
        </w:rPr>
        <w:t>12</w:t>
      </w:r>
      <w:r w:rsidR="006E4742" w:rsidRPr="0019797A">
        <w:rPr>
          <w:rFonts w:ascii="Arial" w:hAnsi="Arial" w:cs="Arial"/>
          <w:color w:val="0070C0"/>
          <w:sz w:val="24"/>
          <w:szCs w:val="24"/>
        </w:rPr>
        <w:t>%</w:t>
      </w:r>
      <w:r w:rsidR="00936A34" w:rsidRPr="0019797A">
        <w:rPr>
          <w:rFonts w:ascii="Arial" w:hAnsi="Arial" w:cs="Arial"/>
          <w:color w:val="0070C0"/>
          <w:sz w:val="24"/>
          <w:szCs w:val="24"/>
        </w:rPr>
        <w:t xml:space="preserve"> to 2.</w:t>
      </w:r>
      <w:r w:rsidR="00D36CC2" w:rsidRPr="0019797A">
        <w:rPr>
          <w:rFonts w:ascii="Arial" w:hAnsi="Arial" w:cs="Arial"/>
          <w:color w:val="0070C0"/>
          <w:sz w:val="24"/>
          <w:szCs w:val="24"/>
        </w:rPr>
        <w:t>05</w:t>
      </w:r>
      <w:r w:rsidR="00936A34" w:rsidRPr="0019797A">
        <w:rPr>
          <w:rFonts w:ascii="Arial" w:hAnsi="Arial" w:cs="Arial"/>
          <w:color w:val="0070C0"/>
          <w:sz w:val="24"/>
          <w:szCs w:val="24"/>
        </w:rPr>
        <w:t xml:space="preserve">%.  One of these </w:t>
      </w:r>
      <w:r w:rsidR="0019797A" w:rsidRPr="00BC4AA1">
        <w:rPr>
          <w:rFonts w:ascii="Arial" w:hAnsi="Arial" w:cs="Arial"/>
          <w:color w:val="0070C0"/>
          <w:sz w:val="24"/>
          <w:szCs w:val="24"/>
        </w:rPr>
        <w:t xml:space="preserve">none </w:t>
      </w:r>
      <w:r w:rsidR="00AF407E" w:rsidRPr="00BC4AA1">
        <w:rPr>
          <w:rFonts w:ascii="Arial" w:hAnsi="Arial" w:cs="Arial"/>
          <w:color w:val="0070C0"/>
          <w:sz w:val="24"/>
          <w:szCs w:val="24"/>
        </w:rPr>
        <w:t>hold a senior medical manager position</w:t>
      </w:r>
      <w:r w:rsidR="00304A31" w:rsidRPr="00BC4AA1">
        <w:rPr>
          <w:rFonts w:ascii="Arial" w:hAnsi="Arial" w:cs="Arial"/>
          <w:color w:val="0070C0"/>
          <w:sz w:val="24"/>
          <w:szCs w:val="24"/>
        </w:rPr>
        <w:t xml:space="preserve"> (as defined by the WRES Technical Guidance 2017)</w:t>
      </w:r>
      <w:r w:rsidR="00AF407E" w:rsidRPr="00BC4AA1">
        <w:rPr>
          <w:rFonts w:ascii="Arial" w:hAnsi="Arial" w:cs="Arial"/>
          <w:color w:val="0070C0"/>
          <w:sz w:val="24"/>
          <w:szCs w:val="24"/>
        </w:rPr>
        <w:t xml:space="preserve">, of which there are </w:t>
      </w:r>
      <w:r w:rsidR="0019797A" w:rsidRPr="00BC4AA1">
        <w:rPr>
          <w:rFonts w:ascii="Arial" w:hAnsi="Arial" w:cs="Arial"/>
          <w:color w:val="0070C0"/>
          <w:sz w:val="24"/>
          <w:szCs w:val="24"/>
        </w:rPr>
        <w:t xml:space="preserve">four </w:t>
      </w:r>
      <w:r w:rsidR="00AF407E" w:rsidRPr="00BC4AA1">
        <w:rPr>
          <w:rFonts w:ascii="Arial" w:hAnsi="Arial" w:cs="Arial"/>
          <w:color w:val="0070C0"/>
          <w:sz w:val="24"/>
          <w:szCs w:val="24"/>
        </w:rPr>
        <w:t>in the Trust.</w:t>
      </w:r>
      <w:r w:rsidR="00304A31" w:rsidRPr="00BC4AA1">
        <w:rPr>
          <w:rFonts w:ascii="Arial" w:hAnsi="Arial" w:cs="Arial"/>
          <w:color w:val="0070C0"/>
          <w:sz w:val="24"/>
          <w:szCs w:val="24"/>
        </w:rPr>
        <w:t xml:space="preserve">  </w:t>
      </w:r>
      <w:r w:rsidR="0019797A" w:rsidRPr="00BC4AA1">
        <w:rPr>
          <w:rFonts w:ascii="Arial" w:hAnsi="Arial" w:cs="Arial"/>
          <w:color w:val="0070C0"/>
          <w:sz w:val="24"/>
          <w:szCs w:val="24"/>
        </w:rPr>
        <w:t>It should however be noted that the Trust d</w:t>
      </w:r>
      <w:r w:rsidR="00304A31" w:rsidRPr="00BC4AA1">
        <w:rPr>
          <w:rFonts w:ascii="Arial" w:hAnsi="Arial" w:cs="Arial"/>
          <w:color w:val="0070C0"/>
          <w:sz w:val="24"/>
          <w:szCs w:val="24"/>
        </w:rPr>
        <w:t xml:space="preserve">oes follow a clinically led structure and each of our 4 Clinical Divisions is led by a Divisional Director and has a </w:t>
      </w:r>
      <w:r w:rsidR="00E95615" w:rsidRPr="00BC4AA1">
        <w:rPr>
          <w:rFonts w:ascii="Arial" w:hAnsi="Arial" w:cs="Arial"/>
          <w:color w:val="0070C0"/>
          <w:sz w:val="24"/>
          <w:szCs w:val="24"/>
        </w:rPr>
        <w:t xml:space="preserve">one or </w:t>
      </w:r>
      <w:r w:rsidR="003E7313" w:rsidRPr="00BC4AA1">
        <w:rPr>
          <w:rFonts w:ascii="Arial" w:hAnsi="Arial" w:cs="Arial"/>
          <w:color w:val="0070C0"/>
          <w:sz w:val="24"/>
          <w:szCs w:val="24"/>
        </w:rPr>
        <w:t xml:space="preserve">more </w:t>
      </w:r>
      <w:r w:rsidR="00304A31" w:rsidRPr="00BC4AA1">
        <w:rPr>
          <w:rFonts w:ascii="Arial" w:hAnsi="Arial" w:cs="Arial"/>
          <w:color w:val="0070C0"/>
          <w:sz w:val="24"/>
          <w:szCs w:val="24"/>
        </w:rPr>
        <w:t xml:space="preserve">Clinical Directors.  </w:t>
      </w:r>
      <w:r w:rsidR="005239E9" w:rsidRPr="00BC4AA1">
        <w:rPr>
          <w:rFonts w:ascii="Arial" w:hAnsi="Arial" w:cs="Arial"/>
          <w:color w:val="0070C0"/>
          <w:sz w:val="24"/>
          <w:szCs w:val="24"/>
        </w:rPr>
        <w:t xml:space="preserve">These </w:t>
      </w:r>
      <w:r w:rsidR="00304A31" w:rsidRPr="00BC4AA1">
        <w:rPr>
          <w:rFonts w:ascii="Arial" w:hAnsi="Arial" w:cs="Arial"/>
          <w:color w:val="0070C0"/>
          <w:sz w:val="24"/>
          <w:szCs w:val="24"/>
        </w:rPr>
        <w:t xml:space="preserve">are all Senior Medical and Dental </w:t>
      </w:r>
      <w:r w:rsidR="00E95615" w:rsidRPr="00BC4AA1">
        <w:rPr>
          <w:rFonts w:ascii="Arial" w:hAnsi="Arial" w:cs="Arial"/>
          <w:color w:val="0070C0"/>
          <w:sz w:val="24"/>
          <w:szCs w:val="24"/>
        </w:rPr>
        <w:t>staff,</w:t>
      </w:r>
      <w:r w:rsidR="00304A31" w:rsidRPr="00BC4AA1">
        <w:rPr>
          <w:rFonts w:ascii="Arial" w:hAnsi="Arial" w:cs="Arial"/>
          <w:color w:val="0070C0"/>
          <w:sz w:val="24"/>
          <w:szCs w:val="24"/>
        </w:rPr>
        <w:t xml:space="preserve"> who report directly to the Trust’s Chief Operating Officer</w:t>
      </w:r>
      <w:r w:rsidR="0019797A" w:rsidRPr="00BC4AA1">
        <w:rPr>
          <w:rFonts w:ascii="Arial" w:hAnsi="Arial" w:cs="Arial"/>
          <w:color w:val="0070C0"/>
          <w:sz w:val="24"/>
          <w:szCs w:val="24"/>
        </w:rPr>
        <w:t xml:space="preserve"> and not the Medical Director</w:t>
      </w:r>
      <w:r w:rsidR="00304A31" w:rsidRPr="00BC4AA1">
        <w:rPr>
          <w:rFonts w:ascii="Arial" w:hAnsi="Arial" w:cs="Arial"/>
          <w:color w:val="0070C0"/>
          <w:sz w:val="24"/>
          <w:szCs w:val="24"/>
        </w:rPr>
        <w:t>.  Of these</w:t>
      </w:r>
      <w:r w:rsidR="005239E9" w:rsidRPr="00BC4AA1">
        <w:rPr>
          <w:rFonts w:ascii="Arial" w:hAnsi="Arial" w:cs="Arial"/>
          <w:color w:val="0070C0"/>
          <w:sz w:val="24"/>
          <w:szCs w:val="24"/>
        </w:rPr>
        <w:t xml:space="preserve"> 15 members of staff</w:t>
      </w:r>
      <w:r w:rsidR="00E95615" w:rsidRPr="00BC4AA1">
        <w:rPr>
          <w:rFonts w:ascii="Arial" w:hAnsi="Arial" w:cs="Arial"/>
          <w:color w:val="0070C0"/>
          <w:sz w:val="24"/>
          <w:szCs w:val="24"/>
        </w:rPr>
        <w:t xml:space="preserve">, </w:t>
      </w:r>
      <w:r w:rsidR="00BC4AA1" w:rsidRPr="00BC4AA1">
        <w:rPr>
          <w:rFonts w:ascii="Arial" w:hAnsi="Arial" w:cs="Arial"/>
          <w:color w:val="0070C0"/>
          <w:sz w:val="24"/>
          <w:szCs w:val="24"/>
        </w:rPr>
        <w:t>10 are White, 4</w:t>
      </w:r>
      <w:r w:rsidR="005239E9" w:rsidRPr="00BC4AA1">
        <w:rPr>
          <w:rFonts w:ascii="Arial" w:hAnsi="Arial" w:cs="Arial"/>
          <w:color w:val="0070C0"/>
          <w:sz w:val="24"/>
          <w:szCs w:val="24"/>
        </w:rPr>
        <w:t xml:space="preserve"> are BME</w:t>
      </w:r>
      <w:r w:rsidR="00BC4AA1" w:rsidRPr="00BC4AA1">
        <w:rPr>
          <w:rFonts w:ascii="Arial" w:hAnsi="Arial" w:cs="Arial"/>
          <w:color w:val="0070C0"/>
          <w:sz w:val="24"/>
          <w:szCs w:val="24"/>
        </w:rPr>
        <w:t xml:space="preserve"> and one has not stated their ethnicity.</w:t>
      </w:r>
    </w:p>
    <w:p w:rsidR="00A10E77" w:rsidRPr="00380A5C" w:rsidRDefault="00A10E77" w:rsidP="00A10E77">
      <w:pPr>
        <w:rPr>
          <w:rFonts w:ascii="Arial" w:hAnsi="Arial" w:cs="Arial"/>
          <w:color w:val="0070C0"/>
          <w:sz w:val="24"/>
          <w:szCs w:val="24"/>
        </w:rPr>
      </w:pPr>
      <w:r w:rsidRPr="00380A5C">
        <w:rPr>
          <w:rFonts w:ascii="Arial" w:hAnsi="Arial" w:cs="Arial"/>
          <w:color w:val="0070C0"/>
          <w:sz w:val="24"/>
          <w:szCs w:val="24"/>
        </w:rPr>
        <w:t xml:space="preserve">Within the non-clinical workforce, Band </w:t>
      </w:r>
      <w:r w:rsidR="00380A5C" w:rsidRPr="00380A5C">
        <w:rPr>
          <w:rFonts w:ascii="Arial" w:hAnsi="Arial" w:cs="Arial"/>
          <w:color w:val="0070C0"/>
          <w:sz w:val="24"/>
          <w:szCs w:val="24"/>
        </w:rPr>
        <w:t>2</w:t>
      </w:r>
      <w:r w:rsidRPr="00380A5C">
        <w:rPr>
          <w:rFonts w:ascii="Arial" w:hAnsi="Arial" w:cs="Arial"/>
          <w:color w:val="0070C0"/>
          <w:sz w:val="24"/>
          <w:szCs w:val="24"/>
        </w:rPr>
        <w:t xml:space="preserve"> has the highest number of BME staff at 1.</w:t>
      </w:r>
      <w:r w:rsidR="00380A5C" w:rsidRPr="00380A5C">
        <w:rPr>
          <w:rFonts w:ascii="Arial" w:hAnsi="Arial" w:cs="Arial"/>
          <w:color w:val="0070C0"/>
          <w:sz w:val="24"/>
          <w:szCs w:val="24"/>
        </w:rPr>
        <w:t>32</w:t>
      </w:r>
      <w:r w:rsidRPr="00380A5C">
        <w:rPr>
          <w:rFonts w:ascii="Arial" w:hAnsi="Arial" w:cs="Arial"/>
          <w:color w:val="0070C0"/>
          <w:sz w:val="24"/>
          <w:szCs w:val="24"/>
        </w:rPr>
        <w:t xml:space="preserve">%, followed by Band </w:t>
      </w:r>
      <w:r w:rsidR="00380A5C" w:rsidRPr="00380A5C">
        <w:rPr>
          <w:rFonts w:ascii="Arial" w:hAnsi="Arial" w:cs="Arial"/>
          <w:color w:val="0070C0"/>
          <w:sz w:val="24"/>
          <w:szCs w:val="24"/>
        </w:rPr>
        <w:t>3</w:t>
      </w:r>
      <w:r w:rsidRPr="00380A5C">
        <w:rPr>
          <w:rFonts w:ascii="Arial" w:hAnsi="Arial" w:cs="Arial"/>
          <w:color w:val="0070C0"/>
          <w:sz w:val="24"/>
          <w:szCs w:val="24"/>
        </w:rPr>
        <w:t xml:space="preserve"> at 0.6</w:t>
      </w:r>
      <w:r w:rsidR="00380A5C" w:rsidRPr="00380A5C">
        <w:rPr>
          <w:rFonts w:ascii="Arial" w:hAnsi="Arial" w:cs="Arial"/>
          <w:color w:val="0070C0"/>
          <w:sz w:val="24"/>
          <w:szCs w:val="24"/>
        </w:rPr>
        <w:t>4</w:t>
      </w:r>
      <w:r w:rsidRPr="00380A5C">
        <w:rPr>
          <w:rFonts w:ascii="Arial" w:hAnsi="Arial" w:cs="Arial"/>
          <w:color w:val="0070C0"/>
          <w:sz w:val="24"/>
          <w:szCs w:val="24"/>
        </w:rPr>
        <w:t xml:space="preserve">%.  The Trust employs very few staff in bands </w:t>
      </w:r>
      <w:r w:rsidR="00A02043" w:rsidRPr="00380A5C">
        <w:rPr>
          <w:rFonts w:ascii="Arial" w:hAnsi="Arial" w:cs="Arial"/>
          <w:color w:val="0070C0"/>
          <w:sz w:val="24"/>
          <w:szCs w:val="24"/>
        </w:rPr>
        <w:t xml:space="preserve">8c, </w:t>
      </w:r>
      <w:r w:rsidRPr="00380A5C">
        <w:rPr>
          <w:rFonts w:ascii="Arial" w:hAnsi="Arial" w:cs="Arial"/>
          <w:color w:val="0070C0"/>
          <w:sz w:val="24"/>
          <w:szCs w:val="24"/>
        </w:rPr>
        <w:t xml:space="preserve">8d and 9 or Very Senior Managers and at the time of the report has </w:t>
      </w:r>
      <w:r w:rsidR="00380A5C" w:rsidRPr="00380A5C">
        <w:rPr>
          <w:rFonts w:ascii="Arial" w:hAnsi="Arial" w:cs="Arial"/>
          <w:color w:val="0070C0"/>
          <w:sz w:val="24"/>
          <w:szCs w:val="24"/>
        </w:rPr>
        <w:t xml:space="preserve">three </w:t>
      </w:r>
      <w:r w:rsidR="00A02043" w:rsidRPr="00380A5C">
        <w:rPr>
          <w:rFonts w:ascii="Arial" w:hAnsi="Arial" w:cs="Arial"/>
          <w:color w:val="0070C0"/>
          <w:sz w:val="24"/>
          <w:szCs w:val="24"/>
        </w:rPr>
        <w:t>member</w:t>
      </w:r>
      <w:r w:rsidR="00380A5C" w:rsidRPr="00380A5C">
        <w:rPr>
          <w:rFonts w:ascii="Arial" w:hAnsi="Arial" w:cs="Arial"/>
          <w:color w:val="0070C0"/>
          <w:sz w:val="24"/>
          <w:szCs w:val="24"/>
        </w:rPr>
        <w:t>s</w:t>
      </w:r>
      <w:r w:rsidR="00A02043" w:rsidRPr="00380A5C">
        <w:rPr>
          <w:rFonts w:ascii="Arial" w:hAnsi="Arial" w:cs="Arial"/>
          <w:color w:val="0070C0"/>
          <w:sz w:val="24"/>
          <w:szCs w:val="24"/>
        </w:rPr>
        <w:t xml:space="preserve"> of</w:t>
      </w:r>
      <w:r w:rsidRPr="00380A5C">
        <w:rPr>
          <w:rFonts w:ascii="Arial" w:hAnsi="Arial" w:cs="Arial"/>
          <w:color w:val="0070C0"/>
          <w:sz w:val="24"/>
          <w:szCs w:val="24"/>
        </w:rPr>
        <w:t xml:space="preserve"> BME staff in these bands/grades in the non-clinical workforce</w:t>
      </w:r>
      <w:r w:rsidR="00380A5C" w:rsidRPr="00380A5C">
        <w:rPr>
          <w:rFonts w:ascii="Arial" w:hAnsi="Arial" w:cs="Arial"/>
          <w:color w:val="0070C0"/>
          <w:sz w:val="24"/>
          <w:szCs w:val="24"/>
        </w:rPr>
        <w:t>, which is an increase of two since 2018</w:t>
      </w:r>
      <w:r w:rsidRPr="00380A5C">
        <w:rPr>
          <w:rFonts w:ascii="Arial" w:hAnsi="Arial" w:cs="Arial"/>
          <w:color w:val="0070C0"/>
          <w:sz w:val="24"/>
          <w:szCs w:val="24"/>
        </w:rPr>
        <w:t>.</w:t>
      </w:r>
    </w:p>
    <w:p w:rsidR="001F7F0A" w:rsidRPr="0054575D" w:rsidRDefault="001F7F0A" w:rsidP="001F7F0A">
      <w:pPr>
        <w:rPr>
          <w:rFonts w:ascii="Arial" w:hAnsi="Arial" w:cs="Arial"/>
          <w:sz w:val="24"/>
          <w:szCs w:val="24"/>
        </w:rPr>
      </w:pPr>
      <w:r w:rsidRPr="0054575D">
        <w:rPr>
          <w:rFonts w:ascii="Arial" w:hAnsi="Arial" w:cs="Arial"/>
          <w:sz w:val="24"/>
          <w:szCs w:val="24"/>
        </w:rPr>
        <w:t>Acti</w:t>
      </w:r>
      <w:r w:rsidR="00304A31" w:rsidRPr="0054575D">
        <w:rPr>
          <w:rFonts w:ascii="Arial" w:hAnsi="Arial" w:cs="Arial"/>
          <w:sz w:val="24"/>
          <w:szCs w:val="24"/>
        </w:rPr>
        <w:t>o</w:t>
      </w:r>
      <w:r w:rsidRPr="0054575D">
        <w:rPr>
          <w:rFonts w:ascii="Arial" w:hAnsi="Arial" w:cs="Arial"/>
          <w:sz w:val="24"/>
          <w:szCs w:val="24"/>
        </w:rPr>
        <w:t xml:space="preserve">n taken and planned including e.g. does the indicator link to EDS2 evidence and/or a corporate Equality Objective </w:t>
      </w:r>
    </w:p>
    <w:p w:rsidR="00DB7B77" w:rsidRPr="0054575D" w:rsidRDefault="00DB7B77" w:rsidP="00B64BD3">
      <w:pPr>
        <w:rPr>
          <w:rFonts w:ascii="Arial" w:hAnsi="Arial" w:cs="Arial"/>
          <w:color w:val="0070C0"/>
          <w:sz w:val="24"/>
          <w:szCs w:val="24"/>
        </w:rPr>
      </w:pPr>
      <w:r w:rsidRPr="0054575D">
        <w:rPr>
          <w:rFonts w:ascii="Arial" w:hAnsi="Arial" w:cs="Arial"/>
          <w:color w:val="0070C0"/>
          <w:sz w:val="24"/>
          <w:szCs w:val="24"/>
        </w:rPr>
        <w:t>The Trust will work collaborati</w:t>
      </w:r>
      <w:r w:rsidR="00FC3C1B" w:rsidRPr="0054575D">
        <w:rPr>
          <w:rFonts w:ascii="Arial" w:hAnsi="Arial" w:cs="Arial"/>
          <w:color w:val="0070C0"/>
          <w:sz w:val="24"/>
          <w:szCs w:val="24"/>
        </w:rPr>
        <w:t>vely with the BAME staff group</w:t>
      </w:r>
      <w:r w:rsidRPr="0054575D">
        <w:rPr>
          <w:rFonts w:ascii="Arial" w:hAnsi="Arial" w:cs="Arial"/>
          <w:color w:val="0070C0"/>
          <w:sz w:val="24"/>
          <w:szCs w:val="24"/>
        </w:rPr>
        <w:t xml:space="preserve"> to co-deliver a BAME career fayre with the aim of raising career opportunities, especially in the context of non-clinical positions.</w:t>
      </w:r>
      <w:r w:rsidR="00FC3C1B" w:rsidRPr="0054575D">
        <w:rPr>
          <w:rFonts w:ascii="Arial" w:hAnsi="Arial" w:cs="Arial"/>
          <w:color w:val="0070C0"/>
          <w:sz w:val="24"/>
          <w:szCs w:val="24"/>
        </w:rPr>
        <w:t xml:space="preserve"> The Trust will make links with local BME and Faith groups to seek their support in raising awareness of the career opportunities across NGH.</w:t>
      </w:r>
    </w:p>
    <w:p w:rsidR="001F7F0A" w:rsidRPr="004154D7" w:rsidRDefault="001F7F0A" w:rsidP="001F7F0A">
      <w:pPr>
        <w:rPr>
          <w:rFonts w:ascii="Arial" w:hAnsi="Arial" w:cs="Arial"/>
          <w:sz w:val="24"/>
          <w:szCs w:val="24"/>
        </w:rPr>
      </w:pPr>
      <w:r w:rsidRPr="004154D7">
        <w:rPr>
          <w:rFonts w:ascii="Arial" w:hAnsi="Arial" w:cs="Arial"/>
          <w:b/>
          <w:bCs/>
          <w:sz w:val="24"/>
          <w:szCs w:val="24"/>
        </w:rPr>
        <w:t xml:space="preserve">18. Relative likelihood of staff being appointed from shortlisting across all posts </w:t>
      </w:r>
    </w:p>
    <w:p w:rsidR="00AF407E" w:rsidRPr="004154D7" w:rsidRDefault="001F7F0A" w:rsidP="001F7F0A">
      <w:pPr>
        <w:rPr>
          <w:rFonts w:ascii="Arial" w:hAnsi="Arial" w:cs="Arial"/>
          <w:sz w:val="24"/>
          <w:szCs w:val="24"/>
        </w:rPr>
      </w:pPr>
      <w:r w:rsidRPr="004154D7">
        <w:rPr>
          <w:rFonts w:ascii="Arial" w:hAnsi="Arial" w:cs="Arial"/>
          <w:sz w:val="24"/>
          <w:szCs w:val="24"/>
        </w:rPr>
        <w:t xml:space="preserve">Data for reporting year: </w:t>
      </w:r>
    </w:p>
    <w:p w:rsidR="001F7F0A" w:rsidRPr="004154D7" w:rsidRDefault="00292DE7" w:rsidP="001F7F0A">
      <w:pPr>
        <w:rPr>
          <w:rFonts w:ascii="Arial" w:hAnsi="Arial" w:cs="Arial"/>
          <w:color w:val="0070C0"/>
          <w:sz w:val="24"/>
          <w:szCs w:val="24"/>
        </w:rPr>
      </w:pPr>
      <w:r w:rsidRPr="004154D7">
        <w:rPr>
          <w:rFonts w:ascii="Arial" w:hAnsi="Arial" w:cs="Arial"/>
          <w:color w:val="0070C0"/>
          <w:sz w:val="24"/>
          <w:szCs w:val="24"/>
        </w:rPr>
        <w:t>1.</w:t>
      </w:r>
      <w:r w:rsidR="004154D7">
        <w:rPr>
          <w:rFonts w:ascii="Arial" w:hAnsi="Arial" w:cs="Arial"/>
          <w:color w:val="0070C0"/>
          <w:sz w:val="24"/>
          <w:szCs w:val="24"/>
        </w:rPr>
        <w:t>06</w:t>
      </w:r>
      <w:r w:rsidR="00AF407E" w:rsidRPr="004154D7">
        <w:rPr>
          <w:rFonts w:ascii="Arial" w:hAnsi="Arial" w:cs="Arial"/>
          <w:color w:val="0070C0"/>
          <w:sz w:val="24"/>
          <w:szCs w:val="24"/>
        </w:rPr>
        <w:t xml:space="preserve"> relative likelihood of White staff being appointed from shortlisting compared to BME staff</w:t>
      </w:r>
    </w:p>
    <w:p w:rsidR="001F7F0A" w:rsidRPr="004154D7" w:rsidRDefault="001F7F0A" w:rsidP="001F7F0A">
      <w:pPr>
        <w:rPr>
          <w:rFonts w:ascii="Arial" w:hAnsi="Arial" w:cs="Arial"/>
          <w:sz w:val="24"/>
          <w:szCs w:val="24"/>
        </w:rPr>
      </w:pPr>
      <w:r w:rsidRPr="004154D7">
        <w:rPr>
          <w:rFonts w:ascii="Arial" w:hAnsi="Arial" w:cs="Arial"/>
          <w:sz w:val="24"/>
          <w:szCs w:val="24"/>
        </w:rPr>
        <w:t xml:space="preserve">Data for previous year: </w:t>
      </w:r>
    </w:p>
    <w:p w:rsidR="00AF407E" w:rsidRDefault="005A10FC" w:rsidP="00AF407E">
      <w:pPr>
        <w:rPr>
          <w:rFonts w:ascii="Arial" w:hAnsi="Arial" w:cs="Arial"/>
          <w:color w:val="0070C0"/>
          <w:sz w:val="24"/>
          <w:szCs w:val="24"/>
        </w:rPr>
      </w:pPr>
      <w:r w:rsidRPr="004154D7">
        <w:rPr>
          <w:rFonts w:ascii="Arial" w:hAnsi="Arial" w:cs="Arial"/>
          <w:color w:val="0070C0"/>
          <w:sz w:val="24"/>
          <w:szCs w:val="24"/>
        </w:rPr>
        <w:t>1.3</w:t>
      </w:r>
      <w:r w:rsidR="004154D7" w:rsidRPr="004154D7">
        <w:rPr>
          <w:rFonts w:ascii="Arial" w:hAnsi="Arial" w:cs="Arial"/>
          <w:color w:val="0070C0"/>
          <w:sz w:val="24"/>
          <w:szCs w:val="24"/>
        </w:rPr>
        <w:t>1</w:t>
      </w:r>
      <w:r w:rsidR="00AF407E" w:rsidRPr="004154D7">
        <w:rPr>
          <w:rFonts w:ascii="Arial" w:hAnsi="Arial" w:cs="Arial"/>
          <w:color w:val="0070C0"/>
          <w:sz w:val="24"/>
          <w:szCs w:val="24"/>
        </w:rPr>
        <w:t xml:space="preserve"> relative likelihood of White staff being appointed from shortlisting compared to BME staff</w:t>
      </w:r>
    </w:p>
    <w:p w:rsidR="004154D7" w:rsidRDefault="004154D7" w:rsidP="00AF407E">
      <w:pPr>
        <w:rPr>
          <w:rFonts w:ascii="Arial" w:hAnsi="Arial" w:cs="Arial"/>
          <w:color w:val="0070C0"/>
          <w:sz w:val="24"/>
          <w:szCs w:val="24"/>
        </w:rPr>
      </w:pPr>
    </w:p>
    <w:p w:rsidR="004154D7" w:rsidRPr="004154D7" w:rsidRDefault="004154D7" w:rsidP="00AF407E">
      <w:pPr>
        <w:rPr>
          <w:rFonts w:ascii="Arial" w:hAnsi="Arial" w:cs="Arial"/>
          <w:color w:val="0070C0"/>
          <w:sz w:val="24"/>
          <w:szCs w:val="24"/>
        </w:rPr>
      </w:pPr>
    </w:p>
    <w:p w:rsidR="001F7F0A" w:rsidRPr="004154D7" w:rsidRDefault="001F7F0A" w:rsidP="001F7F0A">
      <w:pPr>
        <w:rPr>
          <w:rFonts w:ascii="Arial" w:hAnsi="Arial" w:cs="Arial"/>
          <w:sz w:val="24"/>
          <w:szCs w:val="24"/>
        </w:rPr>
      </w:pPr>
      <w:r w:rsidRPr="004154D7">
        <w:rPr>
          <w:rFonts w:ascii="Arial" w:hAnsi="Arial" w:cs="Arial"/>
          <w:sz w:val="24"/>
          <w:szCs w:val="24"/>
        </w:rPr>
        <w:lastRenderedPageBreak/>
        <w:t xml:space="preserve">The implications of the data and any additional background explanatory narrative </w:t>
      </w:r>
    </w:p>
    <w:p w:rsidR="00AF407E" w:rsidRPr="004154D7" w:rsidRDefault="005A10FC" w:rsidP="00AF407E">
      <w:pPr>
        <w:rPr>
          <w:rFonts w:ascii="Arial" w:hAnsi="Arial" w:cs="Arial"/>
          <w:color w:val="0070C0"/>
          <w:sz w:val="24"/>
          <w:szCs w:val="24"/>
        </w:rPr>
      </w:pPr>
      <w:r w:rsidRPr="004154D7">
        <w:rPr>
          <w:rFonts w:ascii="Arial" w:hAnsi="Arial" w:cs="Arial"/>
          <w:color w:val="0070C0"/>
          <w:sz w:val="24"/>
          <w:szCs w:val="24"/>
        </w:rPr>
        <w:t>There has been an improvement in this since 201</w:t>
      </w:r>
      <w:r w:rsidR="004154D7">
        <w:rPr>
          <w:rFonts w:ascii="Arial" w:hAnsi="Arial" w:cs="Arial"/>
          <w:color w:val="0070C0"/>
          <w:sz w:val="24"/>
          <w:szCs w:val="24"/>
        </w:rPr>
        <w:t>9 of 0.25</w:t>
      </w:r>
      <w:r w:rsidR="00292DE7" w:rsidRPr="004154D7">
        <w:rPr>
          <w:rFonts w:ascii="Arial" w:hAnsi="Arial" w:cs="Arial"/>
          <w:color w:val="0070C0"/>
          <w:sz w:val="24"/>
          <w:szCs w:val="24"/>
        </w:rPr>
        <w:t xml:space="preserve">.  </w:t>
      </w:r>
      <w:r w:rsidR="00AF407E" w:rsidRPr="004154D7">
        <w:rPr>
          <w:rFonts w:ascii="Arial" w:hAnsi="Arial" w:cs="Arial"/>
          <w:color w:val="0070C0"/>
          <w:sz w:val="24"/>
          <w:szCs w:val="24"/>
        </w:rPr>
        <w:t xml:space="preserve">Of the individuals shortlisted </w:t>
      </w:r>
      <w:r w:rsidR="004154D7">
        <w:rPr>
          <w:rFonts w:ascii="Arial" w:hAnsi="Arial" w:cs="Arial"/>
          <w:color w:val="0070C0"/>
          <w:sz w:val="24"/>
          <w:szCs w:val="24"/>
        </w:rPr>
        <w:t xml:space="preserve">205 </w:t>
      </w:r>
      <w:r w:rsidR="00AF407E" w:rsidRPr="004154D7">
        <w:rPr>
          <w:rFonts w:ascii="Arial" w:hAnsi="Arial" w:cs="Arial"/>
          <w:color w:val="0070C0"/>
          <w:sz w:val="24"/>
          <w:szCs w:val="24"/>
        </w:rPr>
        <w:t xml:space="preserve">did not disclose their ethnicity.  Of the individuals </w:t>
      </w:r>
      <w:r w:rsidR="00F330F8" w:rsidRPr="004154D7">
        <w:rPr>
          <w:rFonts w:ascii="Arial" w:hAnsi="Arial" w:cs="Arial"/>
          <w:color w:val="0070C0"/>
          <w:sz w:val="24"/>
          <w:szCs w:val="24"/>
        </w:rPr>
        <w:t xml:space="preserve">appointed </w:t>
      </w:r>
      <w:r w:rsidR="004154D7">
        <w:rPr>
          <w:rFonts w:ascii="Arial" w:hAnsi="Arial" w:cs="Arial"/>
          <w:color w:val="0070C0"/>
          <w:sz w:val="24"/>
          <w:szCs w:val="24"/>
        </w:rPr>
        <w:t>146</w:t>
      </w:r>
      <w:r w:rsidR="00AF407E" w:rsidRPr="004154D7">
        <w:rPr>
          <w:rFonts w:ascii="Arial" w:hAnsi="Arial" w:cs="Arial"/>
          <w:color w:val="0070C0"/>
          <w:sz w:val="24"/>
          <w:szCs w:val="24"/>
        </w:rPr>
        <w:t xml:space="preserve"> did not disclose their ethnicity.</w:t>
      </w:r>
    </w:p>
    <w:p w:rsidR="001F7F0A" w:rsidRDefault="001F7F0A" w:rsidP="001F7F0A">
      <w:pPr>
        <w:rPr>
          <w:rFonts w:ascii="Arial" w:hAnsi="Arial" w:cs="Arial"/>
          <w:sz w:val="24"/>
          <w:szCs w:val="24"/>
        </w:rPr>
      </w:pPr>
      <w:r w:rsidRPr="0054575D">
        <w:rPr>
          <w:rFonts w:ascii="Arial" w:hAnsi="Arial" w:cs="Arial"/>
          <w:sz w:val="24"/>
          <w:szCs w:val="24"/>
        </w:rPr>
        <w:t xml:space="preserve">Action taken and planned including e.g. does the indicator link to EDS2 evidence and/or a corporate Equality Objective </w:t>
      </w:r>
    </w:p>
    <w:p w:rsidR="0054575D" w:rsidRPr="0054575D" w:rsidRDefault="0054575D" w:rsidP="0054575D">
      <w:pPr>
        <w:rPr>
          <w:rFonts w:ascii="Arial" w:hAnsi="Arial" w:cs="Arial"/>
          <w:color w:val="0070C0"/>
          <w:sz w:val="24"/>
          <w:szCs w:val="24"/>
        </w:rPr>
      </w:pPr>
      <w:r w:rsidRPr="0054575D">
        <w:rPr>
          <w:rFonts w:ascii="Arial" w:hAnsi="Arial" w:cs="Arial"/>
          <w:color w:val="0070C0"/>
          <w:sz w:val="24"/>
          <w:szCs w:val="24"/>
        </w:rPr>
        <w:t xml:space="preserve">The Trust will work collaboratively with the BAME staff group to </w:t>
      </w:r>
      <w:r>
        <w:rPr>
          <w:rFonts w:ascii="Arial" w:hAnsi="Arial" w:cs="Arial"/>
          <w:color w:val="0070C0"/>
          <w:sz w:val="24"/>
          <w:szCs w:val="24"/>
        </w:rPr>
        <w:t>consider the merit of making it mandatory for at least the chair of interview panels to have undertaken unconscious bias training. Work will continue to ensure that opportunities to act up and / or lead on a project are fairly advertised.</w:t>
      </w:r>
    </w:p>
    <w:p w:rsidR="0054575D" w:rsidRPr="00EC1B6D" w:rsidRDefault="0054575D" w:rsidP="0054575D">
      <w:pPr>
        <w:rPr>
          <w:rFonts w:ascii="Arial" w:hAnsi="Arial" w:cs="Arial"/>
          <w:b/>
          <w:bCs/>
          <w:sz w:val="24"/>
          <w:szCs w:val="24"/>
        </w:rPr>
      </w:pPr>
      <w:r w:rsidRPr="00EC1B6D">
        <w:rPr>
          <w:rFonts w:ascii="Arial" w:hAnsi="Arial" w:cs="Arial"/>
          <w:b/>
          <w:bCs/>
          <w:sz w:val="24"/>
          <w:szCs w:val="24"/>
        </w:rPr>
        <w:t>19. Relative likelihood of staff entering the formal disciplinary process, as measured by entry into a formal disciplinary investigation. This indicator will be based on data from a two year rolling average of the current year and the previous year</w:t>
      </w:r>
    </w:p>
    <w:p w:rsidR="0054575D" w:rsidRPr="00EC1B6D" w:rsidRDefault="0054575D" w:rsidP="0054575D">
      <w:pPr>
        <w:rPr>
          <w:rFonts w:ascii="Arial" w:hAnsi="Arial" w:cs="Arial"/>
          <w:sz w:val="24"/>
          <w:szCs w:val="24"/>
        </w:rPr>
      </w:pPr>
      <w:r w:rsidRPr="00EC1B6D">
        <w:rPr>
          <w:rFonts w:ascii="Arial" w:hAnsi="Arial" w:cs="Arial"/>
          <w:sz w:val="24"/>
          <w:szCs w:val="24"/>
        </w:rPr>
        <w:t xml:space="preserve">Data for reporting year: </w:t>
      </w:r>
    </w:p>
    <w:p w:rsidR="0054575D" w:rsidRPr="00EC1B6D" w:rsidRDefault="0054575D" w:rsidP="0054575D">
      <w:pPr>
        <w:rPr>
          <w:rFonts w:ascii="Arial" w:hAnsi="Arial" w:cs="Arial"/>
          <w:color w:val="0070C0"/>
          <w:sz w:val="24"/>
          <w:szCs w:val="24"/>
        </w:rPr>
      </w:pPr>
      <w:r w:rsidRPr="00EC1B6D">
        <w:rPr>
          <w:rFonts w:ascii="Arial" w:hAnsi="Arial" w:cs="Arial"/>
          <w:color w:val="0070C0"/>
          <w:sz w:val="24"/>
          <w:szCs w:val="24"/>
        </w:rPr>
        <w:t>1.30 relative likelihood of BME staff entering the formal disciplinary process compared with White staff.</w:t>
      </w:r>
    </w:p>
    <w:p w:rsidR="0054575D" w:rsidRPr="00FE396C" w:rsidRDefault="0054575D" w:rsidP="0054575D">
      <w:pPr>
        <w:rPr>
          <w:rFonts w:ascii="Arial" w:hAnsi="Arial" w:cs="Arial"/>
          <w:sz w:val="24"/>
          <w:szCs w:val="24"/>
        </w:rPr>
      </w:pPr>
      <w:r w:rsidRPr="00FE396C">
        <w:rPr>
          <w:rFonts w:ascii="Arial" w:hAnsi="Arial" w:cs="Arial"/>
          <w:sz w:val="24"/>
          <w:szCs w:val="24"/>
        </w:rPr>
        <w:t xml:space="preserve">Data for previous year: </w:t>
      </w:r>
    </w:p>
    <w:p w:rsidR="0054575D" w:rsidRPr="00FE396C" w:rsidRDefault="0054575D" w:rsidP="0054575D">
      <w:pPr>
        <w:rPr>
          <w:rFonts w:ascii="Arial" w:hAnsi="Arial" w:cs="Arial"/>
          <w:color w:val="0070C0"/>
          <w:sz w:val="24"/>
          <w:szCs w:val="24"/>
        </w:rPr>
      </w:pPr>
      <w:r w:rsidRPr="00FE396C">
        <w:rPr>
          <w:rFonts w:ascii="Arial" w:hAnsi="Arial" w:cs="Arial"/>
          <w:color w:val="0070C0"/>
          <w:sz w:val="24"/>
          <w:szCs w:val="24"/>
        </w:rPr>
        <w:t>1.08 relative likelihood of BME staff entering the formal disciplinary process compared with White staff.</w:t>
      </w:r>
    </w:p>
    <w:p w:rsidR="0054575D" w:rsidRPr="00EC1B6D" w:rsidRDefault="0054575D" w:rsidP="0054575D">
      <w:pPr>
        <w:rPr>
          <w:rFonts w:ascii="Arial" w:hAnsi="Arial" w:cs="Arial"/>
          <w:sz w:val="24"/>
          <w:szCs w:val="24"/>
        </w:rPr>
      </w:pPr>
      <w:r w:rsidRPr="00EC1B6D">
        <w:rPr>
          <w:rFonts w:ascii="Arial" w:hAnsi="Arial" w:cs="Arial"/>
          <w:sz w:val="24"/>
          <w:szCs w:val="24"/>
        </w:rPr>
        <w:t xml:space="preserve">The implications of the data and any additional background explanatory narrative </w:t>
      </w:r>
    </w:p>
    <w:p w:rsidR="0054575D" w:rsidRPr="00EC1B6D" w:rsidRDefault="0054575D" w:rsidP="0054575D">
      <w:pPr>
        <w:rPr>
          <w:rFonts w:ascii="Arial" w:hAnsi="Arial" w:cs="Arial"/>
          <w:color w:val="0070C0"/>
          <w:sz w:val="24"/>
          <w:szCs w:val="24"/>
        </w:rPr>
      </w:pPr>
      <w:r>
        <w:rPr>
          <w:rFonts w:ascii="Arial" w:hAnsi="Arial" w:cs="Arial"/>
          <w:color w:val="0070C0"/>
          <w:sz w:val="24"/>
          <w:szCs w:val="24"/>
        </w:rPr>
        <w:t>T</w:t>
      </w:r>
      <w:r w:rsidRPr="00EC1B6D">
        <w:rPr>
          <w:rFonts w:ascii="Arial" w:hAnsi="Arial" w:cs="Arial"/>
          <w:color w:val="0070C0"/>
          <w:sz w:val="24"/>
          <w:szCs w:val="24"/>
        </w:rPr>
        <w:t xml:space="preserve">here has been </w:t>
      </w:r>
      <w:r>
        <w:rPr>
          <w:rFonts w:ascii="Arial" w:hAnsi="Arial" w:cs="Arial"/>
          <w:color w:val="0070C0"/>
          <w:sz w:val="24"/>
          <w:szCs w:val="24"/>
        </w:rPr>
        <w:t xml:space="preserve">a </w:t>
      </w:r>
      <w:r w:rsidRPr="00EC1B6D">
        <w:rPr>
          <w:rFonts w:ascii="Arial" w:hAnsi="Arial" w:cs="Arial"/>
          <w:color w:val="0070C0"/>
          <w:sz w:val="24"/>
          <w:szCs w:val="24"/>
        </w:rPr>
        <w:t>deterioration in this area</w:t>
      </w:r>
      <w:r>
        <w:rPr>
          <w:rFonts w:ascii="Arial" w:hAnsi="Arial" w:cs="Arial"/>
          <w:color w:val="0070C0"/>
          <w:sz w:val="24"/>
          <w:szCs w:val="24"/>
        </w:rPr>
        <w:t xml:space="preserve"> of 0.22 since 2019</w:t>
      </w:r>
      <w:r w:rsidRPr="00EC1B6D">
        <w:rPr>
          <w:rFonts w:ascii="Arial" w:hAnsi="Arial" w:cs="Arial"/>
          <w:color w:val="0070C0"/>
          <w:sz w:val="24"/>
          <w:szCs w:val="24"/>
        </w:rPr>
        <w:t xml:space="preserve">.  Of the individuals entering a formal disciplinary process </w:t>
      </w:r>
      <w:r>
        <w:rPr>
          <w:rFonts w:ascii="Arial" w:hAnsi="Arial" w:cs="Arial"/>
          <w:color w:val="0070C0"/>
          <w:sz w:val="24"/>
          <w:szCs w:val="24"/>
        </w:rPr>
        <w:t>2</w:t>
      </w:r>
      <w:r w:rsidRPr="00EC1B6D">
        <w:rPr>
          <w:rFonts w:ascii="Arial" w:hAnsi="Arial" w:cs="Arial"/>
          <w:color w:val="0070C0"/>
          <w:sz w:val="24"/>
          <w:szCs w:val="24"/>
        </w:rPr>
        <w:t xml:space="preserve"> did not disclose their ethnicity.</w:t>
      </w:r>
    </w:p>
    <w:p w:rsidR="001F7F0A" w:rsidRPr="0054575D" w:rsidRDefault="001F7F0A" w:rsidP="001F7F0A">
      <w:pPr>
        <w:rPr>
          <w:rFonts w:ascii="Arial" w:hAnsi="Arial" w:cs="Arial"/>
          <w:sz w:val="24"/>
          <w:szCs w:val="24"/>
        </w:rPr>
      </w:pPr>
      <w:r w:rsidRPr="0054575D">
        <w:rPr>
          <w:rFonts w:ascii="Arial" w:hAnsi="Arial" w:cs="Arial"/>
          <w:sz w:val="24"/>
          <w:szCs w:val="24"/>
        </w:rPr>
        <w:t xml:space="preserve">Action taken and planned including e.g. does the indicator link to EDS2 evidence and/or a corporate Equality Objective </w:t>
      </w:r>
    </w:p>
    <w:p w:rsidR="00042182" w:rsidRPr="0054575D" w:rsidRDefault="00042182" w:rsidP="001F7F0A">
      <w:pPr>
        <w:rPr>
          <w:rFonts w:ascii="Arial" w:hAnsi="Arial" w:cs="Arial"/>
          <w:color w:val="0070C0"/>
          <w:sz w:val="24"/>
          <w:szCs w:val="24"/>
        </w:rPr>
      </w:pPr>
      <w:r w:rsidRPr="0054575D">
        <w:rPr>
          <w:rFonts w:ascii="Arial" w:hAnsi="Arial" w:cs="Arial"/>
          <w:color w:val="0070C0"/>
          <w:sz w:val="24"/>
          <w:szCs w:val="24"/>
        </w:rPr>
        <w:t xml:space="preserve">The Trust will work with the BAME staff group to ensure that the disciplinary activity across NGH is routinely monitored and any identified hotspots or issues are </w:t>
      </w:r>
      <w:r w:rsidR="0054575D" w:rsidRPr="0054575D">
        <w:rPr>
          <w:rFonts w:ascii="Arial" w:hAnsi="Arial" w:cs="Arial"/>
          <w:color w:val="0070C0"/>
          <w:sz w:val="24"/>
          <w:szCs w:val="24"/>
        </w:rPr>
        <w:t>addressed</w:t>
      </w:r>
      <w:r w:rsidRPr="0054575D">
        <w:rPr>
          <w:rFonts w:ascii="Arial" w:hAnsi="Arial" w:cs="Arial"/>
          <w:color w:val="0070C0"/>
          <w:sz w:val="24"/>
          <w:szCs w:val="24"/>
        </w:rPr>
        <w:t xml:space="preserve"> at the earliest opportunity.</w:t>
      </w:r>
    </w:p>
    <w:p w:rsidR="001F7F0A" w:rsidRPr="00380A5C" w:rsidRDefault="001F7F0A" w:rsidP="001F7F0A">
      <w:pPr>
        <w:rPr>
          <w:rFonts w:ascii="Arial" w:hAnsi="Arial" w:cs="Arial"/>
          <w:sz w:val="24"/>
          <w:szCs w:val="24"/>
        </w:rPr>
      </w:pPr>
      <w:r w:rsidRPr="00380A5C">
        <w:rPr>
          <w:rFonts w:ascii="Arial" w:hAnsi="Arial" w:cs="Arial"/>
          <w:b/>
          <w:bCs/>
          <w:sz w:val="24"/>
          <w:szCs w:val="24"/>
        </w:rPr>
        <w:t xml:space="preserve">20. Relative likelihood of staff accessing non-mandatory training and CPD </w:t>
      </w:r>
    </w:p>
    <w:p w:rsidR="005A10FC" w:rsidRPr="00380A5C" w:rsidRDefault="001F7F0A" w:rsidP="001F7F0A">
      <w:pPr>
        <w:rPr>
          <w:rFonts w:ascii="Arial" w:hAnsi="Arial" w:cs="Arial"/>
          <w:sz w:val="24"/>
          <w:szCs w:val="24"/>
        </w:rPr>
      </w:pPr>
      <w:r w:rsidRPr="00380A5C">
        <w:rPr>
          <w:rFonts w:ascii="Arial" w:hAnsi="Arial" w:cs="Arial"/>
          <w:sz w:val="24"/>
          <w:szCs w:val="24"/>
        </w:rPr>
        <w:t xml:space="preserve">Data for reporting year: </w:t>
      </w:r>
    </w:p>
    <w:p w:rsidR="001F7F0A" w:rsidRPr="00380A5C" w:rsidRDefault="00380A5C" w:rsidP="001F7F0A">
      <w:pPr>
        <w:rPr>
          <w:rFonts w:ascii="Arial" w:hAnsi="Arial" w:cs="Arial"/>
          <w:sz w:val="24"/>
          <w:szCs w:val="24"/>
        </w:rPr>
      </w:pPr>
      <w:r w:rsidRPr="00380A5C">
        <w:rPr>
          <w:rFonts w:ascii="Arial" w:hAnsi="Arial" w:cs="Arial"/>
          <w:color w:val="0070C0"/>
          <w:sz w:val="24"/>
          <w:szCs w:val="24"/>
        </w:rPr>
        <w:t>1.01</w:t>
      </w:r>
      <w:r w:rsidR="00DE41C7" w:rsidRPr="00380A5C">
        <w:rPr>
          <w:rFonts w:ascii="Arial" w:hAnsi="Arial" w:cs="Arial"/>
          <w:color w:val="0070C0"/>
          <w:sz w:val="24"/>
          <w:szCs w:val="24"/>
        </w:rPr>
        <w:t xml:space="preserve"> relative likelihood of White staff accessing non-mandatory training and CPD</w:t>
      </w:r>
      <w:r w:rsidR="00427916" w:rsidRPr="00380A5C">
        <w:rPr>
          <w:rFonts w:ascii="Arial" w:hAnsi="Arial" w:cs="Arial"/>
          <w:color w:val="0070C0"/>
          <w:sz w:val="24"/>
          <w:szCs w:val="24"/>
        </w:rPr>
        <w:t xml:space="preserve"> </w:t>
      </w:r>
      <w:r w:rsidR="00DE41C7" w:rsidRPr="00380A5C">
        <w:rPr>
          <w:rFonts w:ascii="Arial" w:hAnsi="Arial" w:cs="Arial"/>
          <w:color w:val="0070C0"/>
          <w:sz w:val="24"/>
          <w:szCs w:val="24"/>
        </w:rPr>
        <w:t>compared to BME staff</w:t>
      </w:r>
    </w:p>
    <w:p w:rsidR="005A10FC" w:rsidRPr="00380A5C" w:rsidRDefault="001F7F0A" w:rsidP="001F7F0A">
      <w:pPr>
        <w:rPr>
          <w:rFonts w:ascii="Arial" w:hAnsi="Arial" w:cs="Arial"/>
          <w:sz w:val="24"/>
          <w:szCs w:val="24"/>
        </w:rPr>
      </w:pPr>
      <w:r w:rsidRPr="00380A5C">
        <w:rPr>
          <w:rFonts w:ascii="Arial" w:hAnsi="Arial" w:cs="Arial"/>
          <w:sz w:val="24"/>
          <w:szCs w:val="24"/>
        </w:rPr>
        <w:lastRenderedPageBreak/>
        <w:t xml:space="preserve">Data for previous year: </w:t>
      </w:r>
    </w:p>
    <w:p w:rsidR="00380A5C" w:rsidRPr="00380A5C" w:rsidRDefault="00380A5C" w:rsidP="00380A5C">
      <w:pPr>
        <w:rPr>
          <w:rFonts w:ascii="Arial" w:hAnsi="Arial" w:cs="Arial"/>
          <w:sz w:val="24"/>
          <w:szCs w:val="24"/>
        </w:rPr>
      </w:pPr>
      <w:r w:rsidRPr="00380A5C">
        <w:rPr>
          <w:rFonts w:ascii="Arial" w:hAnsi="Arial" w:cs="Arial"/>
          <w:color w:val="0070C0"/>
          <w:sz w:val="24"/>
          <w:szCs w:val="24"/>
        </w:rPr>
        <w:t>0.89 relative likelihood of White staff accessing non-mandatory training and CPD compared to BME staff</w:t>
      </w:r>
    </w:p>
    <w:p w:rsidR="001F7F0A" w:rsidRPr="00380A5C" w:rsidRDefault="001F7F0A" w:rsidP="001F7F0A">
      <w:pPr>
        <w:rPr>
          <w:rFonts w:ascii="Arial" w:hAnsi="Arial" w:cs="Arial"/>
          <w:sz w:val="24"/>
          <w:szCs w:val="24"/>
        </w:rPr>
      </w:pPr>
      <w:r w:rsidRPr="00380A5C">
        <w:rPr>
          <w:rFonts w:ascii="Arial" w:hAnsi="Arial" w:cs="Arial"/>
          <w:sz w:val="24"/>
          <w:szCs w:val="24"/>
        </w:rPr>
        <w:t xml:space="preserve">The implications of the data and any additional background explanatory narrative </w:t>
      </w:r>
    </w:p>
    <w:p w:rsidR="00DE41C7" w:rsidRPr="00380A5C" w:rsidRDefault="005A10FC" w:rsidP="00DE41C7">
      <w:pPr>
        <w:rPr>
          <w:rFonts w:ascii="Arial" w:hAnsi="Arial" w:cs="Arial"/>
          <w:color w:val="0070C0"/>
          <w:sz w:val="24"/>
          <w:szCs w:val="24"/>
        </w:rPr>
      </w:pPr>
      <w:r w:rsidRPr="00380A5C">
        <w:rPr>
          <w:rFonts w:ascii="Arial" w:hAnsi="Arial" w:cs="Arial"/>
          <w:color w:val="0070C0"/>
          <w:sz w:val="24"/>
          <w:szCs w:val="24"/>
        </w:rPr>
        <w:t xml:space="preserve">There has been a </w:t>
      </w:r>
      <w:r w:rsidR="00380A5C" w:rsidRPr="00380A5C">
        <w:rPr>
          <w:rFonts w:ascii="Arial" w:hAnsi="Arial" w:cs="Arial"/>
          <w:color w:val="0070C0"/>
          <w:sz w:val="24"/>
          <w:szCs w:val="24"/>
        </w:rPr>
        <w:t xml:space="preserve">deterioration of 0.12 </w:t>
      </w:r>
      <w:r w:rsidRPr="00380A5C">
        <w:rPr>
          <w:rFonts w:ascii="Arial" w:hAnsi="Arial" w:cs="Arial"/>
          <w:color w:val="0070C0"/>
          <w:sz w:val="24"/>
          <w:szCs w:val="24"/>
        </w:rPr>
        <w:t>in this area since 201</w:t>
      </w:r>
      <w:r w:rsidR="00380A5C" w:rsidRPr="00380A5C">
        <w:rPr>
          <w:rFonts w:ascii="Arial" w:hAnsi="Arial" w:cs="Arial"/>
          <w:color w:val="0070C0"/>
          <w:sz w:val="24"/>
          <w:szCs w:val="24"/>
        </w:rPr>
        <w:t>9</w:t>
      </w:r>
      <w:r w:rsidRPr="00380A5C">
        <w:rPr>
          <w:rFonts w:ascii="Arial" w:hAnsi="Arial" w:cs="Arial"/>
          <w:color w:val="0070C0"/>
          <w:sz w:val="24"/>
          <w:szCs w:val="24"/>
        </w:rPr>
        <w:t xml:space="preserve">.  </w:t>
      </w:r>
      <w:r w:rsidR="00DE41C7" w:rsidRPr="00380A5C">
        <w:rPr>
          <w:rFonts w:ascii="Arial" w:hAnsi="Arial" w:cs="Arial"/>
          <w:color w:val="0070C0"/>
          <w:sz w:val="24"/>
          <w:szCs w:val="24"/>
        </w:rPr>
        <w:t xml:space="preserve">Of the individuals who had places offered and accepted on courses </w:t>
      </w:r>
      <w:r w:rsidRPr="00380A5C">
        <w:rPr>
          <w:rFonts w:ascii="Arial" w:hAnsi="Arial" w:cs="Arial"/>
          <w:color w:val="0070C0"/>
          <w:sz w:val="24"/>
          <w:szCs w:val="24"/>
        </w:rPr>
        <w:t>1</w:t>
      </w:r>
      <w:r w:rsidR="00380A5C" w:rsidRPr="00380A5C">
        <w:rPr>
          <w:rFonts w:ascii="Arial" w:hAnsi="Arial" w:cs="Arial"/>
          <w:color w:val="0070C0"/>
          <w:sz w:val="24"/>
          <w:szCs w:val="24"/>
        </w:rPr>
        <w:t>98</w:t>
      </w:r>
      <w:r w:rsidR="00DE41C7" w:rsidRPr="00380A5C">
        <w:rPr>
          <w:rFonts w:ascii="Arial" w:hAnsi="Arial" w:cs="Arial"/>
          <w:color w:val="0070C0"/>
          <w:sz w:val="24"/>
          <w:szCs w:val="24"/>
        </w:rPr>
        <w:t xml:space="preserve"> did not disclose their ethnicity. </w:t>
      </w:r>
    </w:p>
    <w:p w:rsidR="00947609" w:rsidRPr="00380A5C" w:rsidRDefault="00947609" w:rsidP="00947609">
      <w:pPr>
        <w:rPr>
          <w:rFonts w:ascii="Arial" w:hAnsi="Arial" w:cs="Arial"/>
          <w:color w:val="0070C0"/>
          <w:sz w:val="24"/>
          <w:szCs w:val="24"/>
        </w:rPr>
      </w:pPr>
      <w:r w:rsidRPr="00380A5C">
        <w:rPr>
          <w:rFonts w:ascii="Arial" w:hAnsi="Arial" w:cs="Arial"/>
          <w:color w:val="0070C0"/>
          <w:sz w:val="24"/>
          <w:szCs w:val="24"/>
        </w:rPr>
        <w:t>It should be noted, that this only relates to non-mandatory training and CPD that is organised through the Learning and Development Department.  There is no facility to formally</w:t>
      </w:r>
      <w:r w:rsidR="00A10E77" w:rsidRPr="00380A5C">
        <w:rPr>
          <w:rFonts w:ascii="Arial" w:hAnsi="Arial" w:cs="Arial"/>
          <w:color w:val="0070C0"/>
          <w:sz w:val="24"/>
          <w:szCs w:val="24"/>
        </w:rPr>
        <w:t>/centrally</w:t>
      </w:r>
      <w:r w:rsidRPr="00380A5C">
        <w:rPr>
          <w:rFonts w:ascii="Arial" w:hAnsi="Arial" w:cs="Arial"/>
          <w:color w:val="0070C0"/>
          <w:sz w:val="24"/>
          <w:szCs w:val="24"/>
        </w:rPr>
        <w:t xml:space="preserve"> record other types of </w:t>
      </w:r>
      <w:r w:rsidR="000F2D06" w:rsidRPr="00380A5C">
        <w:rPr>
          <w:rFonts w:ascii="Arial" w:hAnsi="Arial" w:cs="Arial"/>
          <w:color w:val="0070C0"/>
          <w:sz w:val="24"/>
          <w:szCs w:val="24"/>
        </w:rPr>
        <w:t>non-mandatory/CPD</w:t>
      </w:r>
      <w:r w:rsidRPr="00380A5C">
        <w:rPr>
          <w:rFonts w:ascii="Arial" w:hAnsi="Arial" w:cs="Arial"/>
          <w:color w:val="0070C0"/>
          <w:sz w:val="24"/>
          <w:szCs w:val="24"/>
        </w:rPr>
        <w:t xml:space="preserve"> training that takes place elsewhere in the Trust</w:t>
      </w:r>
      <w:r w:rsidR="00A10E77" w:rsidRPr="00380A5C">
        <w:rPr>
          <w:rFonts w:ascii="Arial" w:hAnsi="Arial" w:cs="Arial"/>
          <w:color w:val="0070C0"/>
          <w:sz w:val="24"/>
          <w:szCs w:val="24"/>
        </w:rPr>
        <w:t xml:space="preserve">, </w:t>
      </w:r>
      <w:r w:rsidRPr="00380A5C">
        <w:rPr>
          <w:rFonts w:ascii="Arial" w:hAnsi="Arial" w:cs="Arial"/>
          <w:color w:val="0070C0"/>
          <w:sz w:val="24"/>
          <w:szCs w:val="24"/>
        </w:rPr>
        <w:t xml:space="preserve">so caution should be taken over the above data.  </w:t>
      </w:r>
    </w:p>
    <w:p w:rsidR="001F7F0A" w:rsidRPr="00380A5C" w:rsidRDefault="001F7F0A" w:rsidP="001F7F0A">
      <w:pPr>
        <w:rPr>
          <w:rFonts w:ascii="Arial" w:hAnsi="Arial" w:cs="Arial"/>
          <w:sz w:val="24"/>
          <w:szCs w:val="24"/>
        </w:rPr>
      </w:pPr>
      <w:r w:rsidRPr="00380A5C">
        <w:rPr>
          <w:rFonts w:ascii="Arial" w:hAnsi="Arial" w:cs="Arial"/>
          <w:sz w:val="24"/>
          <w:szCs w:val="24"/>
        </w:rPr>
        <w:t xml:space="preserve">Action taken and planned including e.g. does the indicator link to EDS2 evidence and/or a corporate Equality Objective </w:t>
      </w:r>
    </w:p>
    <w:p w:rsidR="00DB7B77" w:rsidRPr="0054575D" w:rsidRDefault="00DB7B77" w:rsidP="001F7F0A">
      <w:pPr>
        <w:rPr>
          <w:rFonts w:ascii="Arial" w:hAnsi="Arial" w:cs="Arial"/>
          <w:color w:val="0070C0"/>
          <w:sz w:val="24"/>
          <w:szCs w:val="24"/>
        </w:rPr>
      </w:pPr>
      <w:r w:rsidRPr="0054575D">
        <w:rPr>
          <w:rFonts w:ascii="Arial" w:hAnsi="Arial" w:cs="Arial"/>
          <w:color w:val="0070C0"/>
          <w:sz w:val="24"/>
          <w:szCs w:val="24"/>
        </w:rPr>
        <w:t>The Trust will work with the BAME staff network to review the best way to promote the non-mandatory training and CPD to</w:t>
      </w:r>
      <w:r w:rsidR="004E1220" w:rsidRPr="0054575D">
        <w:rPr>
          <w:rFonts w:ascii="Arial" w:hAnsi="Arial" w:cs="Arial"/>
          <w:color w:val="0070C0"/>
          <w:sz w:val="24"/>
          <w:szCs w:val="24"/>
        </w:rPr>
        <w:t xml:space="preserve"> BAME staff, especially as there was a lack of awareness of relevant internal and external courses operated by </w:t>
      </w:r>
      <w:r w:rsidR="00042182" w:rsidRPr="0054575D">
        <w:rPr>
          <w:rFonts w:ascii="Arial" w:hAnsi="Arial" w:cs="Arial"/>
          <w:color w:val="0070C0"/>
          <w:sz w:val="24"/>
          <w:szCs w:val="24"/>
        </w:rPr>
        <w:t>the likes of the NHS Leadership Academy.</w:t>
      </w:r>
    </w:p>
    <w:p w:rsidR="0054575D" w:rsidRDefault="0054575D" w:rsidP="001F7F0A">
      <w:pPr>
        <w:rPr>
          <w:rFonts w:ascii="Arial" w:hAnsi="Arial" w:cs="Arial"/>
          <w:b/>
          <w:bCs/>
          <w:sz w:val="24"/>
          <w:szCs w:val="24"/>
        </w:rPr>
      </w:pPr>
    </w:p>
    <w:p w:rsidR="001F7F0A" w:rsidRPr="00380A5C" w:rsidRDefault="004C4814" w:rsidP="001F7F0A">
      <w:pPr>
        <w:rPr>
          <w:rFonts w:ascii="Arial" w:hAnsi="Arial" w:cs="Arial"/>
          <w:sz w:val="24"/>
          <w:szCs w:val="24"/>
        </w:rPr>
      </w:pPr>
      <w:r w:rsidRPr="00380A5C">
        <w:rPr>
          <w:rFonts w:ascii="Arial" w:hAnsi="Arial" w:cs="Arial"/>
          <w:b/>
          <w:bCs/>
          <w:sz w:val="24"/>
          <w:szCs w:val="24"/>
        </w:rPr>
        <w:t>N</w:t>
      </w:r>
      <w:r w:rsidR="001F7F0A" w:rsidRPr="00380A5C">
        <w:rPr>
          <w:rFonts w:ascii="Arial" w:hAnsi="Arial" w:cs="Arial"/>
          <w:b/>
          <w:bCs/>
          <w:sz w:val="24"/>
          <w:szCs w:val="24"/>
        </w:rPr>
        <w:t>ational NHS Staff Sur</w:t>
      </w:r>
      <w:r w:rsidR="006E3809">
        <w:rPr>
          <w:rFonts w:ascii="Arial" w:hAnsi="Arial" w:cs="Arial"/>
          <w:b/>
          <w:bCs/>
          <w:sz w:val="24"/>
          <w:szCs w:val="24"/>
        </w:rPr>
        <w:t>vey indicators (or equivalent)</w:t>
      </w:r>
    </w:p>
    <w:p w:rsidR="001F7F0A" w:rsidRPr="00380A5C" w:rsidRDefault="001F7F0A" w:rsidP="001F7F0A">
      <w:pPr>
        <w:rPr>
          <w:rFonts w:ascii="Arial" w:hAnsi="Arial" w:cs="Arial"/>
          <w:sz w:val="24"/>
          <w:szCs w:val="24"/>
        </w:rPr>
      </w:pPr>
      <w:r w:rsidRPr="00380A5C">
        <w:rPr>
          <w:rFonts w:ascii="Arial" w:hAnsi="Arial" w:cs="Arial"/>
          <w:sz w:val="24"/>
          <w:szCs w:val="24"/>
        </w:rPr>
        <w:t xml:space="preserve">For each of the four staff survey indicators, compare the outcomes of the responses for White and BME staff </w:t>
      </w:r>
    </w:p>
    <w:p w:rsidR="001F7F0A" w:rsidRPr="00380A5C" w:rsidRDefault="001F7F0A" w:rsidP="001F7F0A">
      <w:pPr>
        <w:rPr>
          <w:rFonts w:ascii="Arial" w:hAnsi="Arial" w:cs="Arial"/>
          <w:sz w:val="24"/>
          <w:szCs w:val="24"/>
        </w:rPr>
      </w:pPr>
      <w:r w:rsidRPr="00380A5C">
        <w:rPr>
          <w:rFonts w:ascii="Arial" w:hAnsi="Arial" w:cs="Arial"/>
          <w:b/>
          <w:bCs/>
          <w:sz w:val="24"/>
          <w:szCs w:val="24"/>
        </w:rPr>
        <w:t xml:space="preserve">21. Percentage of staff experiencing harassment, bullying or abuse from patients, relatives or the public in last 12 months </w:t>
      </w:r>
    </w:p>
    <w:p w:rsidR="001F7F0A" w:rsidRPr="00380A5C" w:rsidRDefault="001F7F0A" w:rsidP="001F7F0A">
      <w:pPr>
        <w:rPr>
          <w:rFonts w:ascii="Arial" w:hAnsi="Arial" w:cs="Arial"/>
          <w:sz w:val="24"/>
          <w:szCs w:val="24"/>
        </w:rPr>
      </w:pPr>
      <w:r w:rsidRPr="00380A5C">
        <w:rPr>
          <w:rFonts w:ascii="Arial" w:hAnsi="Arial" w:cs="Arial"/>
          <w:sz w:val="24"/>
          <w:szCs w:val="24"/>
        </w:rPr>
        <w:t xml:space="preserve">Data for reporting year: </w:t>
      </w:r>
    </w:p>
    <w:p w:rsidR="001F7F0A" w:rsidRPr="00141CED" w:rsidRDefault="001F7F0A" w:rsidP="001F7F0A">
      <w:pPr>
        <w:rPr>
          <w:rFonts w:ascii="Arial" w:hAnsi="Arial" w:cs="Arial"/>
          <w:color w:val="0070C0"/>
          <w:sz w:val="24"/>
          <w:szCs w:val="24"/>
        </w:rPr>
      </w:pPr>
      <w:r w:rsidRPr="00141CED">
        <w:rPr>
          <w:rFonts w:ascii="Arial" w:hAnsi="Arial" w:cs="Arial"/>
          <w:sz w:val="24"/>
          <w:szCs w:val="24"/>
        </w:rPr>
        <w:t xml:space="preserve">White </w:t>
      </w:r>
      <w:r w:rsidR="005A10FC" w:rsidRPr="00141CED">
        <w:rPr>
          <w:rFonts w:ascii="Arial" w:hAnsi="Arial" w:cs="Arial"/>
          <w:color w:val="0070C0"/>
          <w:sz w:val="24"/>
          <w:szCs w:val="24"/>
        </w:rPr>
        <w:t>3</w:t>
      </w:r>
      <w:r w:rsidR="00141CED" w:rsidRPr="00141CED">
        <w:rPr>
          <w:rFonts w:ascii="Arial" w:hAnsi="Arial" w:cs="Arial"/>
          <w:color w:val="0070C0"/>
          <w:sz w:val="24"/>
          <w:szCs w:val="24"/>
        </w:rPr>
        <w:t>3</w:t>
      </w:r>
      <w:r w:rsidR="00406828" w:rsidRPr="00141CED">
        <w:rPr>
          <w:rFonts w:ascii="Arial" w:hAnsi="Arial" w:cs="Arial"/>
          <w:color w:val="0070C0"/>
          <w:sz w:val="24"/>
          <w:szCs w:val="24"/>
        </w:rPr>
        <w:t>%</w:t>
      </w:r>
    </w:p>
    <w:p w:rsidR="001F7F0A" w:rsidRPr="00141CED" w:rsidRDefault="001F7F0A" w:rsidP="001F7F0A">
      <w:pPr>
        <w:rPr>
          <w:rFonts w:ascii="Arial" w:hAnsi="Arial" w:cs="Arial"/>
          <w:color w:val="0070C0"/>
          <w:sz w:val="24"/>
          <w:szCs w:val="24"/>
        </w:rPr>
      </w:pPr>
      <w:r w:rsidRPr="00141CED">
        <w:rPr>
          <w:rFonts w:ascii="Arial" w:hAnsi="Arial" w:cs="Arial"/>
          <w:sz w:val="24"/>
          <w:szCs w:val="24"/>
        </w:rPr>
        <w:t xml:space="preserve">BME </w:t>
      </w:r>
      <w:r w:rsidR="005A10FC" w:rsidRPr="00141CED">
        <w:rPr>
          <w:rFonts w:ascii="Arial" w:hAnsi="Arial" w:cs="Arial"/>
          <w:color w:val="0070C0"/>
          <w:sz w:val="24"/>
          <w:szCs w:val="24"/>
        </w:rPr>
        <w:t>36</w:t>
      </w:r>
      <w:r w:rsidR="00406828" w:rsidRPr="00141CED">
        <w:rPr>
          <w:rFonts w:ascii="Arial" w:hAnsi="Arial" w:cs="Arial"/>
          <w:color w:val="0070C0"/>
          <w:sz w:val="24"/>
          <w:szCs w:val="24"/>
        </w:rPr>
        <w:t>%</w:t>
      </w:r>
    </w:p>
    <w:p w:rsidR="001F7F0A" w:rsidRPr="00141CED" w:rsidRDefault="001F7F0A" w:rsidP="001F7F0A">
      <w:pPr>
        <w:rPr>
          <w:rFonts w:ascii="Arial" w:hAnsi="Arial" w:cs="Arial"/>
          <w:sz w:val="24"/>
          <w:szCs w:val="24"/>
        </w:rPr>
      </w:pPr>
      <w:r w:rsidRPr="00141CED">
        <w:rPr>
          <w:rFonts w:ascii="Arial" w:hAnsi="Arial" w:cs="Arial"/>
          <w:sz w:val="24"/>
          <w:szCs w:val="24"/>
        </w:rPr>
        <w:t xml:space="preserve">Data for previous year: </w:t>
      </w:r>
    </w:p>
    <w:p w:rsidR="003D3716" w:rsidRPr="00141CED" w:rsidRDefault="003D3716" w:rsidP="003D3716">
      <w:pPr>
        <w:rPr>
          <w:rFonts w:ascii="Arial" w:hAnsi="Arial" w:cs="Arial"/>
          <w:color w:val="0070C0"/>
          <w:sz w:val="24"/>
          <w:szCs w:val="24"/>
        </w:rPr>
      </w:pPr>
      <w:r w:rsidRPr="00141CED">
        <w:rPr>
          <w:rFonts w:ascii="Arial" w:hAnsi="Arial" w:cs="Arial"/>
          <w:sz w:val="24"/>
          <w:szCs w:val="24"/>
        </w:rPr>
        <w:t xml:space="preserve">White </w:t>
      </w:r>
      <w:r w:rsidR="00380A5C" w:rsidRPr="00141CED">
        <w:rPr>
          <w:rFonts w:ascii="Arial" w:hAnsi="Arial" w:cs="Arial"/>
          <w:color w:val="0070C0"/>
          <w:sz w:val="24"/>
          <w:szCs w:val="24"/>
        </w:rPr>
        <w:t>32</w:t>
      </w:r>
      <w:r w:rsidRPr="00141CED">
        <w:rPr>
          <w:rFonts w:ascii="Arial" w:hAnsi="Arial" w:cs="Arial"/>
          <w:color w:val="0070C0"/>
          <w:sz w:val="24"/>
          <w:szCs w:val="24"/>
        </w:rPr>
        <w:t>%</w:t>
      </w:r>
    </w:p>
    <w:p w:rsidR="003D3716" w:rsidRPr="00141CED" w:rsidRDefault="003D3716" w:rsidP="003D3716">
      <w:pPr>
        <w:rPr>
          <w:rFonts w:ascii="Arial" w:hAnsi="Arial" w:cs="Arial"/>
          <w:color w:val="0070C0"/>
          <w:sz w:val="24"/>
          <w:szCs w:val="24"/>
        </w:rPr>
      </w:pPr>
      <w:r w:rsidRPr="00141CED">
        <w:rPr>
          <w:rFonts w:ascii="Arial" w:hAnsi="Arial" w:cs="Arial"/>
          <w:sz w:val="24"/>
          <w:szCs w:val="24"/>
        </w:rPr>
        <w:t xml:space="preserve">BME </w:t>
      </w:r>
      <w:r w:rsidR="00380A5C" w:rsidRPr="00141CED">
        <w:rPr>
          <w:rFonts w:ascii="Arial" w:hAnsi="Arial" w:cs="Arial"/>
          <w:color w:val="0070C0"/>
          <w:sz w:val="24"/>
          <w:szCs w:val="24"/>
        </w:rPr>
        <w:t>36</w:t>
      </w:r>
      <w:r w:rsidR="005A10FC" w:rsidRPr="00141CED">
        <w:rPr>
          <w:rFonts w:ascii="Arial" w:hAnsi="Arial" w:cs="Arial"/>
          <w:color w:val="0070C0"/>
          <w:sz w:val="24"/>
          <w:szCs w:val="24"/>
        </w:rPr>
        <w:t>%</w:t>
      </w:r>
    </w:p>
    <w:p w:rsidR="001F7F0A" w:rsidRPr="00141CED" w:rsidRDefault="001F7F0A" w:rsidP="001F7F0A">
      <w:pPr>
        <w:rPr>
          <w:rFonts w:ascii="Arial" w:hAnsi="Arial" w:cs="Arial"/>
          <w:sz w:val="24"/>
          <w:szCs w:val="24"/>
        </w:rPr>
      </w:pPr>
      <w:r w:rsidRPr="00141CED">
        <w:rPr>
          <w:rFonts w:ascii="Arial" w:hAnsi="Arial" w:cs="Arial"/>
          <w:sz w:val="24"/>
          <w:szCs w:val="24"/>
        </w:rPr>
        <w:t xml:space="preserve">The implications of the data and any additional background explanatory narrative </w:t>
      </w:r>
    </w:p>
    <w:p w:rsidR="00920BA8" w:rsidRPr="00141CED" w:rsidRDefault="0078733E" w:rsidP="00920BA8">
      <w:pPr>
        <w:rPr>
          <w:rFonts w:ascii="Arial" w:hAnsi="Arial" w:cs="Arial"/>
          <w:color w:val="0070C0"/>
          <w:sz w:val="24"/>
          <w:szCs w:val="24"/>
        </w:rPr>
      </w:pPr>
      <w:r w:rsidRPr="00141CED">
        <w:rPr>
          <w:rFonts w:ascii="Arial" w:hAnsi="Arial" w:cs="Arial"/>
          <w:color w:val="0070C0"/>
          <w:sz w:val="24"/>
          <w:szCs w:val="24"/>
        </w:rPr>
        <w:t xml:space="preserve">There has been </w:t>
      </w:r>
      <w:r w:rsidR="00141CED" w:rsidRPr="00141CED">
        <w:rPr>
          <w:rFonts w:ascii="Arial" w:hAnsi="Arial" w:cs="Arial"/>
          <w:color w:val="0070C0"/>
          <w:sz w:val="24"/>
          <w:szCs w:val="24"/>
        </w:rPr>
        <w:t xml:space="preserve">no change in the percentage </w:t>
      </w:r>
      <w:r w:rsidRPr="00141CED">
        <w:rPr>
          <w:rFonts w:ascii="Arial" w:hAnsi="Arial" w:cs="Arial"/>
          <w:color w:val="0070C0"/>
          <w:sz w:val="24"/>
          <w:szCs w:val="24"/>
        </w:rPr>
        <w:t xml:space="preserve">of BME staff who have experienced </w:t>
      </w:r>
      <w:r w:rsidRPr="00141CED">
        <w:rPr>
          <w:rFonts w:ascii="Arial" w:hAnsi="Arial" w:cs="Arial"/>
          <w:bCs/>
          <w:color w:val="0070C0"/>
          <w:sz w:val="24"/>
          <w:szCs w:val="24"/>
        </w:rPr>
        <w:t xml:space="preserve">harassment, bullying or abuse from patients, relatives or the public in last 12 months.  In </w:t>
      </w:r>
      <w:r w:rsidRPr="00141CED">
        <w:rPr>
          <w:rFonts w:ascii="Arial" w:hAnsi="Arial" w:cs="Arial"/>
          <w:bCs/>
          <w:color w:val="0070C0"/>
          <w:sz w:val="24"/>
          <w:szCs w:val="24"/>
        </w:rPr>
        <w:lastRenderedPageBreak/>
        <w:t xml:space="preserve">addition, </w:t>
      </w:r>
      <w:r w:rsidR="005A10FC" w:rsidRPr="00141CED">
        <w:rPr>
          <w:rFonts w:ascii="Arial" w:hAnsi="Arial" w:cs="Arial"/>
          <w:bCs/>
          <w:color w:val="0070C0"/>
          <w:sz w:val="24"/>
          <w:szCs w:val="24"/>
        </w:rPr>
        <w:t xml:space="preserve">there has been an increase of </w:t>
      </w:r>
      <w:r w:rsidR="00141CED" w:rsidRPr="00141CED">
        <w:rPr>
          <w:rFonts w:ascii="Arial" w:hAnsi="Arial" w:cs="Arial"/>
          <w:bCs/>
          <w:color w:val="0070C0"/>
          <w:sz w:val="24"/>
          <w:szCs w:val="24"/>
        </w:rPr>
        <w:t>1</w:t>
      </w:r>
      <w:r w:rsidR="005A10FC" w:rsidRPr="00141CED">
        <w:rPr>
          <w:rFonts w:ascii="Arial" w:hAnsi="Arial" w:cs="Arial"/>
          <w:bCs/>
          <w:color w:val="0070C0"/>
          <w:sz w:val="24"/>
          <w:szCs w:val="24"/>
        </w:rPr>
        <w:t>% of White staff experiencing</w:t>
      </w:r>
      <w:r w:rsidR="006C1850">
        <w:rPr>
          <w:rFonts w:ascii="Arial" w:hAnsi="Arial" w:cs="Arial"/>
          <w:bCs/>
          <w:color w:val="0070C0"/>
          <w:sz w:val="24"/>
          <w:szCs w:val="24"/>
        </w:rPr>
        <w:t xml:space="preserve"> it</w:t>
      </w:r>
      <w:r w:rsidR="00A10E77" w:rsidRPr="00141CED">
        <w:rPr>
          <w:rFonts w:ascii="Arial" w:hAnsi="Arial" w:cs="Arial"/>
          <w:bCs/>
          <w:color w:val="0070C0"/>
          <w:sz w:val="24"/>
          <w:szCs w:val="24"/>
        </w:rPr>
        <w:t xml:space="preserve">.  Comparatively </w:t>
      </w:r>
      <w:r w:rsidR="00141CED" w:rsidRPr="00141CED">
        <w:rPr>
          <w:rFonts w:ascii="Arial" w:hAnsi="Arial" w:cs="Arial"/>
          <w:bCs/>
          <w:color w:val="0070C0"/>
          <w:sz w:val="24"/>
          <w:szCs w:val="24"/>
        </w:rPr>
        <w:t>3</w:t>
      </w:r>
      <w:r w:rsidR="00A10E77" w:rsidRPr="00141CED">
        <w:rPr>
          <w:rFonts w:ascii="Arial" w:hAnsi="Arial" w:cs="Arial"/>
          <w:bCs/>
          <w:color w:val="0070C0"/>
          <w:sz w:val="24"/>
          <w:szCs w:val="24"/>
        </w:rPr>
        <w:t>% more BME staff than White staff have experienced this type of harassment, bullying or abuse.</w:t>
      </w:r>
      <w:r w:rsidR="005A10FC" w:rsidRPr="00141CED">
        <w:rPr>
          <w:rFonts w:ascii="Arial" w:hAnsi="Arial" w:cs="Arial"/>
          <w:bCs/>
          <w:color w:val="0070C0"/>
          <w:sz w:val="24"/>
          <w:szCs w:val="24"/>
        </w:rPr>
        <w:t xml:space="preserve">  </w:t>
      </w:r>
      <w:r w:rsidR="00920BA8" w:rsidRPr="00141CED">
        <w:rPr>
          <w:rFonts w:ascii="Arial" w:hAnsi="Arial" w:cs="Arial"/>
          <w:color w:val="0070C0"/>
          <w:sz w:val="24"/>
          <w:szCs w:val="24"/>
        </w:rPr>
        <w:t xml:space="preserve">  </w:t>
      </w:r>
      <w:r w:rsidR="00920BA8" w:rsidRPr="00141CED">
        <w:rPr>
          <w:rFonts w:ascii="Arial" w:hAnsi="Arial" w:cs="Arial"/>
          <w:bCs/>
          <w:color w:val="0070C0"/>
          <w:sz w:val="24"/>
          <w:szCs w:val="24"/>
        </w:rPr>
        <w:t xml:space="preserve"> </w:t>
      </w:r>
    </w:p>
    <w:p w:rsidR="00406828" w:rsidRPr="00141CED" w:rsidRDefault="003A542F" w:rsidP="00406828">
      <w:pPr>
        <w:rPr>
          <w:rFonts w:ascii="Arial" w:hAnsi="Arial" w:cs="Arial"/>
          <w:color w:val="0070C0"/>
          <w:sz w:val="24"/>
          <w:szCs w:val="24"/>
        </w:rPr>
      </w:pPr>
      <w:r w:rsidRPr="00141CED">
        <w:rPr>
          <w:rFonts w:ascii="Arial" w:hAnsi="Arial" w:cs="Arial"/>
          <w:color w:val="0070C0"/>
          <w:sz w:val="24"/>
          <w:szCs w:val="24"/>
        </w:rPr>
        <w:t>For the Trust</w:t>
      </w:r>
      <w:r w:rsidR="00C909A4" w:rsidRPr="00141CED">
        <w:rPr>
          <w:rFonts w:ascii="Arial" w:hAnsi="Arial" w:cs="Arial"/>
          <w:color w:val="0070C0"/>
          <w:sz w:val="24"/>
          <w:szCs w:val="24"/>
        </w:rPr>
        <w:t>’</w:t>
      </w:r>
      <w:r w:rsidRPr="00141CED">
        <w:rPr>
          <w:rFonts w:ascii="Arial" w:hAnsi="Arial" w:cs="Arial"/>
          <w:color w:val="0070C0"/>
          <w:sz w:val="24"/>
          <w:szCs w:val="24"/>
        </w:rPr>
        <w:t xml:space="preserve">s overall </w:t>
      </w:r>
      <w:r w:rsidR="00441171" w:rsidRPr="00141CED">
        <w:rPr>
          <w:rFonts w:ascii="Arial" w:hAnsi="Arial" w:cs="Arial"/>
          <w:color w:val="0070C0"/>
          <w:sz w:val="24"/>
          <w:szCs w:val="24"/>
        </w:rPr>
        <w:t>Staff Survey results</w:t>
      </w:r>
      <w:r w:rsidR="000E35F2" w:rsidRPr="00141CED">
        <w:rPr>
          <w:rFonts w:ascii="Arial" w:hAnsi="Arial" w:cs="Arial"/>
          <w:color w:val="0070C0"/>
          <w:sz w:val="24"/>
          <w:szCs w:val="24"/>
        </w:rPr>
        <w:t xml:space="preserve"> t</w:t>
      </w:r>
      <w:r w:rsidRPr="00141CED">
        <w:rPr>
          <w:rFonts w:ascii="Arial" w:hAnsi="Arial" w:cs="Arial"/>
          <w:color w:val="0070C0"/>
          <w:sz w:val="24"/>
          <w:szCs w:val="24"/>
        </w:rPr>
        <w:t xml:space="preserve">here was a deterioration of </w:t>
      </w:r>
      <w:r w:rsidR="00141CED" w:rsidRPr="00141CED">
        <w:rPr>
          <w:rFonts w:ascii="Arial" w:hAnsi="Arial" w:cs="Arial"/>
          <w:color w:val="0070C0"/>
          <w:sz w:val="24"/>
          <w:szCs w:val="24"/>
        </w:rPr>
        <w:t>2</w:t>
      </w:r>
      <w:r w:rsidRPr="00141CED">
        <w:rPr>
          <w:rFonts w:ascii="Arial" w:hAnsi="Arial" w:cs="Arial"/>
          <w:color w:val="0070C0"/>
          <w:sz w:val="24"/>
          <w:szCs w:val="24"/>
        </w:rPr>
        <w:t>% for this question</w:t>
      </w:r>
      <w:r w:rsidR="000E35F2" w:rsidRPr="00141CED">
        <w:rPr>
          <w:rFonts w:ascii="Arial" w:hAnsi="Arial" w:cs="Arial"/>
          <w:color w:val="0070C0"/>
          <w:sz w:val="24"/>
          <w:szCs w:val="24"/>
        </w:rPr>
        <w:t>, from the previous year</w:t>
      </w:r>
      <w:r w:rsidRPr="00141CED">
        <w:rPr>
          <w:rFonts w:ascii="Arial" w:hAnsi="Arial" w:cs="Arial"/>
          <w:color w:val="0070C0"/>
          <w:sz w:val="24"/>
          <w:szCs w:val="24"/>
        </w:rPr>
        <w:t xml:space="preserve"> and the Trust was worse than the national average</w:t>
      </w:r>
      <w:r w:rsidR="00406828" w:rsidRPr="00141CED">
        <w:rPr>
          <w:rFonts w:ascii="Arial" w:hAnsi="Arial" w:cs="Arial"/>
          <w:color w:val="0070C0"/>
          <w:sz w:val="24"/>
          <w:szCs w:val="24"/>
        </w:rPr>
        <w:t>.</w:t>
      </w:r>
    </w:p>
    <w:p w:rsidR="001F7F0A" w:rsidRPr="0054575D" w:rsidRDefault="001F7F0A" w:rsidP="001F7F0A">
      <w:pPr>
        <w:rPr>
          <w:rFonts w:ascii="Arial" w:hAnsi="Arial" w:cs="Arial"/>
          <w:sz w:val="24"/>
          <w:szCs w:val="24"/>
        </w:rPr>
      </w:pPr>
      <w:r w:rsidRPr="00141CED">
        <w:rPr>
          <w:rFonts w:ascii="Arial" w:hAnsi="Arial" w:cs="Arial"/>
          <w:sz w:val="24"/>
          <w:szCs w:val="24"/>
        </w:rPr>
        <w:t xml:space="preserve">Action taken and planned including e.g. does the indicator link to EDS2 evidence and/or </w:t>
      </w:r>
      <w:r w:rsidRPr="0054575D">
        <w:rPr>
          <w:rFonts w:ascii="Arial" w:hAnsi="Arial" w:cs="Arial"/>
          <w:sz w:val="24"/>
          <w:szCs w:val="24"/>
        </w:rPr>
        <w:t xml:space="preserve">a corporate Equality Objective </w:t>
      </w:r>
    </w:p>
    <w:p w:rsidR="004E1220" w:rsidRPr="0054575D" w:rsidRDefault="004E1220" w:rsidP="00340831">
      <w:pPr>
        <w:rPr>
          <w:rFonts w:ascii="Arial" w:hAnsi="Arial" w:cs="Arial"/>
          <w:color w:val="0070C0"/>
          <w:sz w:val="24"/>
          <w:szCs w:val="24"/>
        </w:rPr>
      </w:pPr>
      <w:r w:rsidRPr="0054575D">
        <w:rPr>
          <w:rFonts w:ascii="Arial" w:hAnsi="Arial" w:cs="Arial"/>
          <w:color w:val="0070C0"/>
          <w:sz w:val="24"/>
          <w:szCs w:val="24"/>
        </w:rPr>
        <w:t>The Trust will work collaboratively with the BAME staff network and BAME victims to help to understand the nature of the inappropriate behaviour and to co-produce a basic suppor</w:t>
      </w:r>
      <w:r w:rsidR="00042182" w:rsidRPr="0054575D">
        <w:rPr>
          <w:rFonts w:ascii="Arial" w:hAnsi="Arial" w:cs="Arial"/>
          <w:color w:val="0070C0"/>
          <w:sz w:val="24"/>
          <w:szCs w:val="24"/>
        </w:rPr>
        <w:t xml:space="preserve">t structure for </w:t>
      </w:r>
      <w:r w:rsidR="00B5067C" w:rsidRPr="0054575D">
        <w:rPr>
          <w:rFonts w:ascii="Arial" w:hAnsi="Arial" w:cs="Arial"/>
          <w:color w:val="0070C0"/>
          <w:sz w:val="24"/>
          <w:szCs w:val="24"/>
        </w:rPr>
        <w:t>victims’</w:t>
      </w:r>
      <w:r w:rsidR="00042182" w:rsidRPr="0054575D">
        <w:rPr>
          <w:rFonts w:ascii="Arial" w:hAnsi="Arial" w:cs="Arial"/>
          <w:color w:val="0070C0"/>
          <w:sz w:val="24"/>
          <w:szCs w:val="24"/>
        </w:rPr>
        <w:t xml:space="preserve"> e.g. cultural ambassadors.</w:t>
      </w:r>
    </w:p>
    <w:p w:rsidR="001F7F0A" w:rsidRPr="00141CED" w:rsidRDefault="001F7F0A" w:rsidP="001F7F0A">
      <w:pPr>
        <w:rPr>
          <w:rFonts w:ascii="Arial" w:hAnsi="Arial" w:cs="Arial"/>
          <w:sz w:val="24"/>
          <w:szCs w:val="24"/>
        </w:rPr>
      </w:pPr>
      <w:r w:rsidRPr="00141CED">
        <w:rPr>
          <w:rFonts w:ascii="Arial" w:hAnsi="Arial" w:cs="Arial"/>
          <w:b/>
          <w:bCs/>
          <w:sz w:val="24"/>
          <w:szCs w:val="24"/>
        </w:rPr>
        <w:t xml:space="preserve">22. Percentage of staff experiencing harassment, bullying or abuse from staff in last 12 months </w:t>
      </w:r>
    </w:p>
    <w:p w:rsidR="001F7F0A" w:rsidRPr="006C1850" w:rsidRDefault="001F7F0A" w:rsidP="001F7F0A">
      <w:pPr>
        <w:rPr>
          <w:rFonts w:ascii="Arial" w:hAnsi="Arial" w:cs="Arial"/>
          <w:sz w:val="24"/>
          <w:szCs w:val="24"/>
        </w:rPr>
      </w:pPr>
      <w:r w:rsidRPr="006C1850">
        <w:rPr>
          <w:rFonts w:ascii="Arial" w:hAnsi="Arial" w:cs="Arial"/>
          <w:sz w:val="24"/>
          <w:szCs w:val="24"/>
        </w:rPr>
        <w:t xml:space="preserve">Data for reporting year: </w:t>
      </w:r>
    </w:p>
    <w:p w:rsidR="001F7F0A" w:rsidRPr="006C1850" w:rsidRDefault="001F7F0A" w:rsidP="001F7F0A">
      <w:pPr>
        <w:rPr>
          <w:rFonts w:ascii="Arial" w:hAnsi="Arial" w:cs="Arial"/>
          <w:color w:val="0070C0"/>
          <w:sz w:val="24"/>
          <w:szCs w:val="24"/>
        </w:rPr>
      </w:pPr>
      <w:r w:rsidRPr="006C1850">
        <w:rPr>
          <w:rFonts w:ascii="Arial" w:hAnsi="Arial" w:cs="Arial"/>
          <w:sz w:val="24"/>
          <w:szCs w:val="24"/>
        </w:rPr>
        <w:t xml:space="preserve">White </w:t>
      </w:r>
      <w:r w:rsidR="00141CED" w:rsidRPr="006C1850">
        <w:rPr>
          <w:rFonts w:ascii="Arial" w:hAnsi="Arial" w:cs="Arial"/>
          <w:color w:val="0070C0"/>
          <w:sz w:val="24"/>
          <w:szCs w:val="24"/>
        </w:rPr>
        <w:t>30</w:t>
      </w:r>
      <w:r w:rsidR="00441171" w:rsidRPr="006C1850">
        <w:rPr>
          <w:rFonts w:ascii="Arial" w:hAnsi="Arial" w:cs="Arial"/>
          <w:color w:val="0070C0"/>
          <w:sz w:val="24"/>
          <w:szCs w:val="24"/>
        </w:rPr>
        <w:t>%</w:t>
      </w:r>
    </w:p>
    <w:p w:rsidR="001F7F0A" w:rsidRPr="006C1850" w:rsidRDefault="001F7F0A" w:rsidP="001F7F0A">
      <w:pPr>
        <w:rPr>
          <w:rFonts w:ascii="Arial" w:hAnsi="Arial" w:cs="Arial"/>
          <w:color w:val="0070C0"/>
          <w:sz w:val="24"/>
          <w:szCs w:val="24"/>
        </w:rPr>
      </w:pPr>
      <w:r w:rsidRPr="006C1850">
        <w:rPr>
          <w:rFonts w:ascii="Arial" w:hAnsi="Arial" w:cs="Arial"/>
          <w:sz w:val="24"/>
          <w:szCs w:val="24"/>
        </w:rPr>
        <w:t xml:space="preserve">BME </w:t>
      </w:r>
      <w:r w:rsidR="00BF75DE" w:rsidRPr="006C1850">
        <w:rPr>
          <w:rFonts w:ascii="Arial" w:hAnsi="Arial" w:cs="Arial"/>
          <w:color w:val="0070C0"/>
          <w:sz w:val="24"/>
          <w:szCs w:val="24"/>
        </w:rPr>
        <w:t>38%</w:t>
      </w:r>
    </w:p>
    <w:p w:rsidR="001F7F0A" w:rsidRPr="006C1850" w:rsidRDefault="001F7F0A" w:rsidP="001F7F0A">
      <w:pPr>
        <w:rPr>
          <w:rFonts w:ascii="Arial" w:hAnsi="Arial" w:cs="Arial"/>
          <w:sz w:val="24"/>
          <w:szCs w:val="24"/>
        </w:rPr>
      </w:pPr>
      <w:r w:rsidRPr="006C1850">
        <w:rPr>
          <w:rFonts w:ascii="Arial" w:hAnsi="Arial" w:cs="Arial"/>
          <w:sz w:val="24"/>
          <w:szCs w:val="24"/>
        </w:rPr>
        <w:t xml:space="preserve">Data for previous year: </w:t>
      </w:r>
    </w:p>
    <w:p w:rsidR="00E950E6" w:rsidRPr="006C1850" w:rsidRDefault="00E950E6" w:rsidP="00E950E6">
      <w:pPr>
        <w:rPr>
          <w:rFonts w:ascii="Arial" w:hAnsi="Arial" w:cs="Arial"/>
          <w:color w:val="0070C0"/>
          <w:sz w:val="24"/>
          <w:szCs w:val="24"/>
        </w:rPr>
      </w:pPr>
      <w:r w:rsidRPr="006C1850">
        <w:rPr>
          <w:rFonts w:ascii="Arial" w:hAnsi="Arial" w:cs="Arial"/>
          <w:sz w:val="24"/>
          <w:szCs w:val="24"/>
        </w:rPr>
        <w:t xml:space="preserve">White </w:t>
      </w:r>
      <w:r w:rsidR="00BF75DE" w:rsidRPr="006C1850">
        <w:rPr>
          <w:rFonts w:ascii="Arial" w:hAnsi="Arial" w:cs="Arial"/>
          <w:color w:val="0070C0"/>
          <w:sz w:val="24"/>
          <w:szCs w:val="24"/>
        </w:rPr>
        <w:t>3</w:t>
      </w:r>
      <w:r w:rsidR="00141CED" w:rsidRPr="006C1850">
        <w:rPr>
          <w:rFonts w:ascii="Arial" w:hAnsi="Arial" w:cs="Arial"/>
          <w:color w:val="0070C0"/>
          <w:sz w:val="24"/>
          <w:szCs w:val="24"/>
        </w:rPr>
        <w:t>1</w:t>
      </w:r>
      <w:r w:rsidR="00BF75DE" w:rsidRPr="006C1850">
        <w:rPr>
          <w:rFonts w:ascii="Arial" w:hAnsi="Arial" w:cs="Arial"/>
          <w:color w:val="0070C0"/>
          <w:sz w:val="24"/>
          <w:szCs w:val="24"/>
        </w:rPr>
        <w:t>%</w:t>
      </w:r>
    </w:p>
    <w:p w:rsidR="00E950E6" w:rsidRPr="006C1850" w:rsidRDefault="00E950E6" w:rsidP="00E950E6">
      <w:pPr>
        <w:rPr>
          <w:rFonts w:ascii="Arial" w:hAnsi="Arial" w:cs="Arial"/>
          <w:color w:val="0070C0"/>
          <w:sz w:val="24"/>
          <w:szCs w:val="24"/>
        </w:rPr>
      </w:pPr>
      <w:r w:rsidRPr="006C1850">
        <w:rPr>
          <w:rFonts w:ascii="Arial" w:hAnsi="Arial" w:cs="Arial"/>
          <w:sz w:val="24"/>
          <w:szCs w:val="24"/>
        </w:rPr>
        <w:t xml:space="preserve">BME </w:t>
      </w:r>
      <w:r w:rsidR="00141CED" w:rsidRPr="006C1850">
        <w:rPr>
          <w:rFonts w:ascii="Arial" w:hAnsi="Arial" w:cs="Arial"/>
          <w:color w:val="0070C0"/>
          <w:sz w:val="24"/>
          <w:szCs w:val="24"/>
        </w:rPr>
        <w:t>38</w:t>
      </w:r>
      <w:r w:rsidRPr="006C1850">
        <w:rPr>
          <w:rFonts w:ascii="Arial" w:hAnsi="Arial" w:cs="Arial"/>
          <w:color w:val="0070C0"/>
          <w:sz w:val="24"/>
          <w:szCs w:val="24"/>
        </w:rPr>
        <w:t>%</w:t>
      </w:r>
    </w:p>
    <w:p w:rsidR="001F7F0A" w:rsidRPr="006C1850" w:rsidRDefault="001F7F0A" w:rsidP="001F7F0A">
      <w:pPr>
        <w:rPr>
          <w:rFonts w:ascii="Arial" w:hAnsi="Arial" w:cs="Arial"/>
          <w:sz w:val="24"/>
          <w:szCs w:val="24"/>
        </w:rPr>
      </w:pPr>
      <w:r w:rsidRPr="006C1850">
        <w:rPr>
          <w:rFonts w:ascii="Arial" w:hAnsi="Arial" w:cs="Arial"/>
          <w:sz w:val="24"/>
          <w:szCs w:val="24"/>
        </w:rPr>
        <w:t xml:space="preserve">The implications of the data and any additional background explanatory narrative </w:t>
      </w:r>
    </w:p>
    <w:p w:rsidR="00141CED" w:rsidRPr="006C1850" w:rsidRDefault="00141CED" w:rsidP="00141CED">
      <w:pPr>
        <w:rPr>
          <w:rFonts w:ascii="Arial" w:hAnsi="Arial" w:cs="Arial"/>
          <w:color w:val="0070C0"/>
          <w:sz w:val="24"/>
          <w:szCs w:val="24"/>
        </w:rPr>
      </w:pPr>
      <w:r w:rsidRPr="00141CED">
        <w:rPr>
          <w:rFonts w:ascii="Arial" w:hAnsi="Arial" w:cs="Arial"/>
          <w:color w:val="0070C0"/>
          <w:sz w:val="24"/>
          <w:szCs w:val="24"/>
        </w:rPr>
        <w:t xml:space="preserve">There has been no change in the percentage of BME staff who have experienced </w:t>
      </w:r>
      <w:r w:rsidRPr="00141CED">
        <w:rPr>
          <w:rFonts w:ascii="Arial" w:hAnsi="Arial" w:cs="Arial"/>
          <w:bCs/>
          <w:color w:val="0070C0"/>
          <w:sz w:val="24"/>
          <w:szCs w:val="24"/>
        </w:rPr>
        <w:t xml:space="preserve">harassment, bullying or abuse from </w:t>
      </w:r>
      <w:r w:rsidR="006C1850">
        <w:rPr>
          <w:rFonts w:ascii="Arial" w:hAnsi="Arial" w:cs="Arial"/>
          <w:bCs/>
          <w:color w:val="0070C0"/>
          <w:sz w:val="24"/>
          <w:szCs w:val="24"/>
        </w:rPr>
        <w:t xml:space="preserve">staff </w:t>
      </w:r>
      <w:r w:rsidRPr="00141CED">
        <w:rPr>
          <w:rFonts w:ascii="Arial" w:hAnsi="Arial" w:cs="Arial"/>
          <w:bCs/>
          <w:color w:val="0070C0"/>
          <w:sz w:val="24"/>
          <w:szCs w:val="24"/>
        </w:rPr>
        <w:t xml:space="preserve">in last 12 months.  </w:t>
      </w:r>
      <w:r w:rsidR="006C1850">
        <w:rPr>
          <w:rFonts w:ascii="Arial" w:hAnsi="Arial" w:cs="Arial"/>
          <w:bCs/>
          <w:color w:val="0070C0"/>
          <w:sz w:val="24"/>
          <w:szCs w:val="24"/>
        </w:rPr>
        <w:t xml:space="preserve">There has been a decrease of </w:t>
      </w:r>
      <w:r w:rsidRPr="00141CED">
        <w:rPr>
          <w:rFonts w:ascii="Arial" w:hAnsi="Arial" w:cs="Arial"/>
          <w:bCs/>
          <w:color w:val="0070C0"/>
          <w:sz w:val="24"/>
          <w:szCs w:val="24"/>
        </w:rPr>
        <w:t>1% of White staff experiencing</w:t>
      </w:r>
      <w:r w:rsidR="006C1850">
        <w:rPr>
          <w:rFonts w:ascii="Arial" w:hAnsi="Arial" w:cs="Arial"/>
          <w:bCs/>
          <w:color w:val="0070C0"/>
          <w:sz w:val="24"/>
          <w:szCs w:val="24"/>
        </w:rPr>
        <w:t xml:space="preserve"> it.  Comparatively 8</w:t>
      </w:r>
      <w:r w:rsidRPr="00141CED">
        <w:rPr>
          <w:rFonts w:ascii="Arial" w:hAnsi="Arial" w:cs="Arial"/>
          <w:bCs/>
          <w:color w:val="0070C0"/>
          <w:sz w:val="24"/>
          <w:szCs w:val="24"/>
        </w:rPr>
        <w:t xml:space="preserve">% more BME staff than White staff </w:t>
      </w:r>
      <w:r w:rsidRPr="006C1850">
        <w:rPr>
          <w:rFonts w:ascii="Arial" w:hAnsi="Arial" w:cs="Arial"/>
          <w:bCs/>
          <w:color w:val="0070C0"/>
          <w:sz w:val="24"/>
          <w:szCs w:val="24"/>
        </w:rPr>
        <w:t xml:space="preserve">have experienced this type of harassment, bullying or abuse.  </w:t>
      </w:r>
      <w:r w:rsidRPr="006C1850">
        <w:rPr>
          <w:rFonts w:ascii="Arial" w:hAnsi="Arial" w:cs="Arial"/>
          <w:color w:val="0070C0"/>
          <w:sz w:val="24"/>
          <w:szCs w:val="24"/>
        </w:rPr>
        <w:t xml:space="preserve">  </w:t>
      </w:r>
      <w:r w:rsidRPr="006C1850">
        <w:rPr>
          <w:rFonts w:ascii="Arial" w:hAnsi="Arial" w:cs="Arial"/>
          <w:bCs/>
          <w:color w:val="0070C0"/>
          <w:sz w:val="24"/>
          <w:szCs w:val="24"/>
        </w:rPr>
        <w:t xml:space="preserve"> </w:t>
      </w:r>
    </w:p>
    <w:p w:rsidR="00441171" w:rsidRPr="006C1850" w:rsidRDefault="003A542F" w:rsidP="00441171">
      <w:pPr>
        <w:rPr>
          <w:rFonts w:ascii="Arial" w:hAnsi="Arial" w:cs="Arial"/>
          <w:color w:val="0070C0"/>
          <w:sz w:val="24"/>
          <w:szCs w:val="24"/>
        </w:rPr>
      </w:pPr>
      <w:r w:rsidRPr="006C1850">
        <w:rPr>
          <w:rFonts w:ascii="Arial" w:hAnsi="Arial" w:cs="Arial"/>
          <w:color w:val="0070C0"/>
          <w:sz w:val="24"/>
          <w:szCs w:val="24"/>
        </w:rPr>
        <w:t>For the Trust</w:t>
      </w:r>
      <w:r w:rsidR="00C909A4" w:rsidRPr="006C1850">
        <w:rPr>
          <w:rFonts w:ascii="Arial" w:hAnsi="Arial" w:cs="Arial"/>
          <w:color w:val="0070C0"/>
          <w:sz w:val="24"/>
          <w:szCs w:val="24"/>
        </w:rPr>
        <w:t>’</w:t>
      </w:r>
      <w:r w:rsidRPr="006C1850">
        <w:rPr>
          <w:rFonts w:ascii="Arial" w:hAnsi="Arial" w:cs="Arial"/>
          <w:color w:val="0070C0"/>
          <w:sz w:val="24"/>
          <w:szCs w:val="24"/>
        </w:rPr>
        <w:t>s overall Staff Survey results</w:t>
      </w:r>
      <w:r w:rsidR="00B557C7" w:rsidRPr="006C1850">
        <w:rPr>
          <w:rFonts w:ascii="Arial" w:hAnsi="Arial" w:cs="Arial"/>
          <w:color w:val="0070C0"/>
          <w:sz w:val="24"/>
          <w:szCs w:val="24"/>
        </w:rPr>
        <w:t xml:space="preserve">, from the previous year, </w:t>
      </w:r>
      <w:r w:rsidR="006C1850" w:rsidRPr="006C1850">
        <w:rPr>
          <w:rFonts w:ascii="Arial" w:hAnsi="Arial" w:cs="Arial"/>
          <w:color w:val="0070C0"/>
          <w:sz w:val="24"/>
          <w:szCs w:val="24"/>
        </w:rPr>
        <w:t>there was an improvement 1.6</w:t>
      </w:r>
      <w:r w:rsidRPr="006C1850">
        <w:rPr>
          <w:rFonts w:ascii="Arial" w:hAnsi="Arial" w:cs="Arial"/>
          <w:color w:val="0070C0"/>
          <w:sz w:val="24"/>
          <w:szCs w:val="24"/>
        </w:rPr>
        <w:t>% for th</w:t>
      </w:r>
      <w:r w:rsidR="006C1850" w:rsidRPr="006C1850">
        <w:rPr>
          <w:rFonts w:ascii="Arial" w:hAnsi="Arial" w:cs="Arial"/>
          <w:color w:val="0070C0"/>
          <w:sz w:val="24"/>
          <w:szCs w:val="24"/>
        </w:rPr>
        <w:t>e</w:t>
      </w:r>
      <w:r w:rsidRPr="006C1850">
        <w:rPr>
          <w:rFonts w:ascii="Arial" w:hAnsi="Arial" w:cs="Arial"/>
          <w:color w:val="0070C0"/>
          <w:sz w:val="24"/>
          <w:szCs w:val="24"/>
        </w:rPr>
        <w:t xml:space="preserve"> question</w:t>
      </w:r>
      <w:r w:rsidR="00B557C7" w:rsidRPr="006C1850">
        <w:rPr>
          <w:rFonts w:ascii="Arial" w:hAnsi="Arial" w:cs="Arial"/>
          <w:color w:val="0070C0"/>
          <w:sz w:val="24"/>
          <w:szCs w:val="24"/>
        </w:rPr>
        <w:t xml:space="preserve"> in relation to </w:t>
      </w:r>
      <w:r w:rsidR="006C1850" w:rsidRPr="006C1850">
        <w:rPr>
          <w:rFonts w:ascii="Arial" w:hAnsi="Arial" w:cs="Arial"/>
          <w:color w:val="0070C0"/>
          <w:sz w:val="24"/>
          <w:szCs w:val="24"/>
        </w:rPr>
        <w:t>colleagues</w:t>
      </w:r>
      <w:r w:rsidR="00B557C7" w:rsidRPr="006C1850">
        <w:rPr>
          <w:rFonts w:ascii="Arial" w:hAnsi="Arial" w:cs="Arial"/>
          <w:color w:val="0070C0"/>
          <w:sz w:val="24"/>
          <w:szCs w:val="24"/>
        </w:rPr>
        <w:t xml:space="preserve"> and 0.</w:t>
      </w:r>
      <w:r w:rsidR="006C1850" w:rsidRPr="006C1850">
        <w:rPr>
          <w:rFonts w:ascii="Arial" w:hAnsi="Arial" w:cs="Arial"/>
          <w:color w:val="0070C0"/>
          <w:sz w:val="24"/>
          <w:szCs w:val="24"/>
        </w:rPr>
        <w:t>2%</w:t>
      </w:r>
      <w:r w:rsidR="00B557C7" w:rsidRPr="006C1850">
        <w:rPr>
          <w:rFonts w:ascii="Arial" w:hAnsi="Arial" w:cs="Arial"/>
          <w:color w:val="0070C0"/>
          <w:sz w:val="24"/>
          <w:szCs w:val="24"/>
        </w:rPr>
        <w:t xml:space="preserve"> </w:t>
      </w:r>
      <w:r w:rsidR="006C1850" w:rsidRPr="006C1850">
        <w:rPr>
          <w:rFonts w:ascii="Arial" w:hAnsi="Arial" w:cs="Arial"/>
          <w:color w:val="0070C0"/>
          <w:sz w:val="24"/>
          <w:szCs w:val="24"/>
        </w:rPr>
        <w:t xml:space="preserve">deterioration </w:t>
      </w:r>
      <w:r w:rsidR="00B557C7" w:rsidRPr="006C1850">
        <w:rPr>
          <w:rFonts w:ascii="Arial" w:hAnsi="Arial" w:cs="Arial"/>
          <w:color w:val="0070C0"/>
          <w:sz w:val="24"/>
          <w:szCs w:val="24"/>
        </w:rPr>
        <w:t xml:space="preserve">in relation to </w:t>
      </w:r>
      <w:r w:rsidR="006C1850" w:rsidRPr="006C1850">
        <w:rPr>
          <w:rFonts w:ascii="Arial" w:hAnsi="Arial" w:cs="Arial"/>
          <w:color w:val="0070C0"/>
          <w:sz w:val="24"/>
          <w:szCs w:val="24"/>
        </w:rPr>
        <w:t>m</w:t>
      </w:r>
      <w:r w:rsidR="00B557C7" w:rsidRPr="006C1850">
        <w:rPr>
          <w:rFonts w:ascii="Arial" w:hAnsi="Arial" w:cs="Arial"/>
          <w:color w:val="0070C0"/>
          <w:sz w:val="24"/>
          <w:szCs w:val="24"/>
        </w:rPr>
        <w:t>anagers.  T</w:t>
      </w:r>
      <w:r w:rsidRPr="006C1850">
        <w:rPr>
          <w:rFonts w:ascii="Arial" w:hAnsi="Arial" w:cs="Arial"/>
          <w:color w:val="0070C0"/>
          <w:sz w:val="24"/>
          <w:szCs w:val="24"/>
        </w:rPr>
        <w:t>he Trust was worse than the national average</w:t>
      </w:r>
      <w:r w:rsidR="006C1850" w:rsidRPr="006C1850">
        <w:rPr>
          <w:rFonts w:ascii="Arial" w:hAnsi="Arial" w:cs="Arial"/>
          <w:color w:val="0070C0"/>
          <w:sz w:val="24"/>
          <w:szCs w:val="24"/>
        </w:rPr>
        <w:t xml:space="preserve"> in relation to both areas.</w:t>
      </w:r>
    </w:p>
    <w:p w:rsidR="001F7F0A" w:rsidRPr="006C1850" w:rsidRDefault="001F7F0A" w:rsidP="001F7F0A">
      <w:pPr>
        <w:rPr>
          <w:rFonts w:ascii="Arial" w:hAnsi="Arial" w:cs="Arial"/>
          <w:sz w:val="24"/>
          <w:szCs w:val="24"/>
        </w:rPr>
      </w:pPr>
      <w:r w:rsidRPr="006C1850">
        <w:rPr>
          <w:rFonts w:ascii="Arial" w:hAnsi="Arial" w:cs="Arial"/>
          <w:sz w:val="24"/>
          <w:szCs w:val="24"/>
        </w:rPr>
        <w:t xml:space="preserve">Action taken and planned including e.g. does the indicator link to EDS2 evidence and/or a corporate Equality Objective </w:t>
      </w:r>
    </w:p>
    <w:p w:rsidR="004E1220" w:rsidRPr="0054575D" w:rsidRDefault="004E1220" w:rsidP="00694E0D">
      <w:pPr>
        <w:rPr>
          <w:rFonts w:ascii="Arial" w:hAnsi="Arial" w:cs="Arial"/>
          <w:color w:val="0070C0"/>
          <w:sz w:val="24"/>
          <w:szCs w:val="24"/>
        </w:rPr>
      </w:pPr>
      <w:r w:rsidRPr="0054575D">
        <w:rPr>
          <w:rFonts w:ascii="Arial" w:hAnsi="Arial" w:cs="Arial"/>
          <w:color w:val="0070C0"/>
          <w:sz w:val="24"/>
          <w:szCs w:val="24"/>
        </w:rPr>
        <w:t xml:space="preserve">The Trust will work collaboratively with the BAME staff network to co-produce a zero tolerance campaign regarding bullying and harassment. It is recognised that there is an opportunity to </w:t>
      </w:r>
      <w:r w:rsidR="0002427E" w:rsidRPr="0054575D">
        <w:rPr>
          <w:rFonts w:ascii="Arial" w:hAnsi="Arial" w:cs="Arial"/>
          <w:color w:val="0070C0"/>
          <w:sz w:val="24"/>
          <w:szCs w:val="24"/>
        </w:rPr>
        <w:t xml:space="preserve">develop stronger reporting mechanism to enable any </w:t>
      </w:r>
      <w:r w:rsidR="004004D8" w:rsidRPr="0054575D">
        <w:rPr>
          <w:rFonts w:ascii="Arial" w:hAnsi="Arial" w:cs="Arial"/>
          <w:color w:val="0070C0"/>
          <w:sz w:val="24"/>
          <w:szCs w:val="24"/>
        </w:rPr>
        <w:t xml:space="preserve">bullying and harassment </w:t>
      </w:r>
      <w:r w:rsidR="0002427E" w:rsidRPr="0054575D">
        <w:rPr>
          <w:rFonts w:ascii="Arial" w:hAnsi="Arial" w:cs="Arial"/>
          <w:color w:val="0070C0"/>
          <w:sz w:val="24"/>
          <w:szCs w:val="24"/>
        </w:rPr>
        <w:t>hotspots to be addressed expeditiously.</w:t>
      </w:r>
    </w:p>
    <w:p w:rsidR="001F7F0A" w:rsidRPr="006C1850" w:rsidRDefault="001F7F0A" w:rsidP="001F7F0A">
      <w:pPr>
        <w:rPr>
          <w:rFonts w:ascii="Arial" w:hAnsi="Arial" w:cs="Arial"/>
          <w:sz w:val="24"/>
          <w:szCs w:val="24"/>
        </w:rPr>
      </w:pPr>
      <w:r w:rsidRPr="006C1850">
        <w:rPr>
          <w:rFonts w:ascii="Arial" w:hAnsi="Arial" w:cs="Arial"/>
          <w:b/>
          <w:bCs/>
          <w:sz w:val="24"/>
          <w:szCs w:val="24"/>
        </w:rPr>
        <w:lastRenderedPageBreak/>
        <w:t xml:space="preserve">23. Percentage believing that trust provides equal opportunities for career progression or promotion </w:t>
      </w:r>
    </w:p>
    <w:p w:rsidR="001F7F0A" w:rsidRPr="006C1850" w:rsidRDefault="001F7F0A" w:rsidP="001F7F0A">
      <w:pPr>
        <w:rPr>
          <w:rFonts w:ascii="Arial" w:hAnsi="Arial" w:cs="Arial"/>
          <w:sz w:val="24"/>
          <w:szCs w:val="24"/>
        </w:rPr>
      </w:pPr>
      <w:r w:rsidRPr="006C1850">
        <w:rPr>
          <w:rFonts w:ascii="Arial" w:hAnsi="Arial" w:cs="Arial"/>
          <w:sz w:val="24"/>
          <w:szCs w:val="24"/>
        </w:rPr>
        <w:t xml:space="preserve">Data for reporting year: </w:t>
      </w:r>
    </w:p>
    <w:p w:rsidR="001F7F0A" w:rsidRPr="006C1850" w:rsidRDefault="001F7F0A" w:rsidP="001F7F0A">
      <w:pPr>
        <w:rPr>
          <w:rFonts w:ascii="Arial" w:hAnsi="Arial" w:cs="Arial"/>
          <w:sz w:val="24"/>
          <w:szCs w:val="24"/>
        </w:rPr>
      </w:pPr>
      <w:r w:rsidRPr="006C1850">
        <w:rPr>
          <w:rFonts w:ascii="Arial" w:hAnsi="Arial" w:cs="Arial"/>
          <w:sz w:val="24"/>
          <w:szCs w:val="24"/>
        </w:rPr>
        <w:t xml:space="preserve">White </w:t>
      </w:r>
      <w:r w:rsidR="00E333BF" w:rsidRPr="006C1850">
        <w:rPr>
          <w:rFonts w:ascii="Arial" w:hAnsi="Arial" w:cs="Arial"/>
          <w:color w:val="0070C0"/>
          <w:sz w:val="24"/>
          <w:szCs w:val="24"/>
        </w:rPr>
        <w:t>8</w:t>
      </w:r>
      <w:r w:rsidR="006C1850" w:rsidRPr="006C1850">
        <w:rPr>
          <w:rFonts w:ascii="Arial" w:hAnsi="Arial" w:cs="Arial"/>
          <w:color w:val="0070C0"/>
          <w:sz w:val="24"/>
          <w:szCs w:val="24"/>
        </w:rPr>
        <w:t>5</w:t>
      </w:r>
      <w:r w:rsidR="00E333BF" w:rsidRPr="006C1850">
        <w:rPr>
          <w:rFonts w:ascii="Arial" w:hAnsi="Arial" w:cs="Arial"/>
          <w:color w:val="0070C0"/>
          <w:sz w:val="24"/>
          <w:szCs w:val="24"/>
        </w:rPr>
        <w:t>%</w:t>
      </w:r>
    </w:p>
    <w:p w:rsidR="001F7F0A" w:rsidRPr="006C1850" w:rsidRDefault="001F7F0A" w:rsidP="001F7F0A">
      <w:pPr>
        <w:rPr>
          <w:rFonts w:ascii="Arial" w:hAnsi="Arial" w:cs="Arial"/>
          <w:color w:val="0070C0"/>
          <w:sz w:val="24"/>
          <w:szCs w:val="24"/>
        </w:rPr>
      </w:pPr>
      <w:r w:rsidRPr="006C1850">
        <w:rPr>
          <w:rFonts w:ascii="Arial" w:hAnsi="Arial" w:cs="Arial"/>
          <w:sz w:val="24"/>
          <w:szCs w:val="24"/>
        </w:rPr>
        <w:t xml:space="preserve">BME </w:t>
      </w:r>
      <w:r w:rsidR="00FD022A" w:rsidRPr="006C1850">
        <w:rPr>
          <w:rFonts w:ascii="Arial" w:hAnsi="Arial" w:cs="Arial"/>
          <w:color w:val="0070C0"/>
          <w:sz w:val="24"/>
          <w:szCs w:val="24"/>
        </w:rPr>
        <w:t>6</w:t>
      </w:r>
      <w:r w:rsidR="006C1850" w:rsidRPr="006C1850">
        <w:rPr>
          <w:rFonts w:ascii="Arial" w:hAnsi="Arial" w:cs="Arial"/>
          <w:color w:val="0070C0"/>
          <w:sz w:val="24"/>
          <w:szCs w:val="24"/>
        </w:rPr>
        <w:t>0</w:t>
      </w:r>
      <w:r w:rsidR="00E333BF" w:rsidRPr="006C1850">
        <w:rPr>
          <w:rFonts w:ascii="Arial" w:hAnsi="Arial" w:cs="Arial"/>
          <w:color w:val="0070C0"/>
          <w:sz w:val="24"/>
          <w:szCs w:val="24"/>
        </w:rPr>
        <w:t>%</w:t>
      </w:r>
    </w:p>
    <w:p w:rsidR="001F7F0A" w:rsidRPr="006C1850" w:rsidRDefault="001F7F0A" w:rsidP="001F7F0A">
      <w:pPr>
        <w:rPr>
          <w:rFonts w:ascii="Arial" w:hAnsi="Arial" w:cs="Arial"/>
          <w:sz w:val="24"/>
          <w:szCs w:val="24"/>
        </w:rPr>
      </w:pPr>
      <w:r w:rsidRPr="006C1850">
        <w:rPr>
          <w:rFonts w:ascii="Arial" w:hAnsi="Arial" w:cs="Arial"/>
          <w:sz w:val="24"/>
          <w:szCs w:val="24"/>
        </w:rPr>
        <w:t xml:space="preserve">Data for previous year: </w:t>
      </w:r>
    </w:p>
    <w:p w:rsidR="001F7F0A" w:rsidRPr="006C1850" w:rsidRDefault="001F7F0A" w:rsidP="001F7F0A">
      <w:pPr>
        <w:rPr>
          <w:rFonts w:ascii="Arial" w:hAnsi="Arial" w:cs="Arial"/>
          <w:sz w:val="24"/>
          <w:szCs w:val="24"/>
        </w:rPr>
      </w:pPr>
      <w:r w:rsidRPr="006C1850">
        <w:rPr>
          <w:rFonts w:ascii="Arial" w:hAnsi="Arial" w:cs="Arial"/>
          <w:sz w:val="24"/>
          <w:szCs w:val="24"/>
        </w:rPr>
        <w:t xml:space="preserve">White </w:t>
      </w:r>
      <w:r w:rsidR="00694E0D" w:rsidRPr="006C1850">
        <w:rPr>
          <w:rFonts w:ascii="Arial" w:hAnsi="Arial" w:cs="Arial"/>
          <w:color w:val="0070C0"/>
          <w:sz w:val="24"/>
          <w:szCs w:val="24"/>
        </w:rPr>
        <w:t>8</w:t>
      </w:r>
      <w:r w:rsidR="006C1850" w:rsidRPr="006C1850">
        <w:rPr>
          <w:rFonts w:ascii="Arial" w:hAnsi="Arial" w:cs="Arial"/>
          <w:color w:val="0070C0"/>
          <w:sz w:val="24"/>
          <w:szCs w:val="24"/>
        </w:rPr>
        <w:t>7</w:t>
      </w:r>
      <w:r w:rsidR="00E333BF" w:rsidRPr="006C1850">
        <w:rPr>
          <w:rFonts w:ascii="Arial" w:hAnsi="Arial" w:cs="Arial"/>
          <w:color w:val="0070C0"/>
          <w:sz w:val="24"/>
          <w:szCs w:val="24"/>
        </w:rPr>
        <w:t>%</w:t>
      </w:r>
    </w:p>
    <w:p w:rsidR="001F7F0A" w:rsidRPr="006C1850" w:rsidRDefault="001F7F0A" w:rsidP="001F7F0A">
      <w:pPr>
        <w:rPr>
          <w:rFonts w:ascii="Arial" w:hAnsi="Arial" w:cs="Arial"/>
          <w:color w:val="0070C0"/>
          <w:sz w:val="24"/>
          <w:szCs w:val="24"/>
        </w:rPr>
      </w:pPr>
      <w:r w:rsidRPr="006C1850">
        <w:rPr>
          <w:rFonts w:ascii="Arial" w:hAnsi="Arial" w:cs="Arial"/>
          <w:sz w:val="24"/>
          <w:szCs w:val="24"/>
        </w:rPr>
        <w:t xml:space="preserve">BME </w:t>
      </w:r>
      <w:r w:rsidR="006C1850" w:rsidRPr="006C1850">
        <w:rPr>
          <w:rFonts w:ascii="Arial" w:hAnsi="Arial" w:cs="Arial"/>
          <w:color w:val="0070C0"/>
          <w:sz w:val="24"/>
          <w:szCs w:val="24"/>
        </w:rPr>
        <w:t>65</w:t>
      </w:r>
      <w:r w:rsidR="00E333BF" w:rsidRPr="006C1850">
        <w:rPr>
          <w:rFonts w:ascii="Arial" w:hAnsi="Arial" w:cs="Arial"/>
          <w:color w:val="0070C0"/>
          <w:sz w:val="24"/>
          <w:szCs w:val="24"/>
        </w:rPr>
        <w:t>%</w:t>
      </w:r>
    </w:p>
    <w:p w:rsidR="001F7F0A" w:rsidRPr="00ED4340" w:rsidRDefault="001F7F0A" w:rsidP="001F7F0A">
      <w:pPr>
        <w:rPr>
          <w:rFonts w:ascii="Arial" w:hAnsi="Arial" w:cs="Arial"/>
          <w:sz w:val="24"/>
          <w:szCs w:val="24"/>
        </w:rPr>
      </w:pPr>
      <w:r w:rsidRPr="00ED4340">
        <w:rPr>
          <w:rFonts w:ascii="Arial" w:hAnsi="Arial" w:cs="Arial"/>
          <w:sz w:val="24"/>
          <w:szCs w:val="24"/>
        </w:rPr>
        <w:t xml:space="preserve">The implications of the data and any additional background explanatory narrative </w:t>
      </w:r>
    </w:p>
    <w:p w:rsidR="00A10E77" w:rsidRPr="00ED4340" w:rsidRDefault="00FD022A" w:rsidP="000E35F2">
      <w:pPr>
        <w:rPr>
          <w:rFonts w:ascii="Arial" w:hAnsi="Arial" w:cs="Arial"/>
          <w:color w:val="0070C0"/>
          <w:sz w:val="24"/>
          <w:szCs w:val="24"/>
        </w:rPr>
      </w:pPr>
      <w:r w:rsidRPr="00ED4340">
        <w:rPr>
          <w:rFonts w:ascii="Arial" w:hAnsi="Arial" w:cs="Arial"/>
          <w:color w:val="0070C0"/>
          <w:sz w:val="24"/>
          <w:szCs w:val="24"/>
        </w:rPr>
        <w:t xml:space="preserve">There has been a </w:t>
      </w:r>
      <w:r w:rsidR="00CC302F" w:rsidRPr="00ED4340">
        <w:rPr>
          <w:rFonts w:ascii="Arial" w:hAnsi="Arial" w:cs="Arial"/>
          <w:color w:val="0070C0"/>
          <w:sz w:val="24"/>
          <w:szCs w:val="24"/>
        </w:rPr>
        <w:t>deterioration</w:t>
      </w:r>
      <w:r w:rsidR="00694E0D" w:rsidRPr="00ED4340">
        <w:rPr>
          <w:rFonts w:ascii="Arial" w:hAnsi="Arial" w:cs="Arial"/>
          <w:color w:val="0070C0"/>
          <w:sz w:val="24"/>
          <w:szCs w:val="24"/>
        </w:rPr>
        <w:t xml:space="preserve"> of </w:t>
      </w:r>
      <w:r w:rsidR="006C1850" w:rsidRPr="00ED4340">
        <w:rPr>
          <w:rFonts w:ascii="Arial" w:hAnsi="Arial" w:cs="Arial"/>
          <w:color w:val="0070C0"/>
          <w:sz w:val="24"/>
          <w:szCs w:val="24"/>
        </w:rPr>
        <w:t>5</w:t>
      </w:r>
      <w:r w:rsidR="00694E0D" w:rsidRPr="00ED4340">
        <w:rPr>
          <w:rFonts w:ascii="Arial" w:hAnsi="Arial" w:cs="Arial"/>
          <w:color w:val="0070C0"/>
          <w:sz w:val="24"/>
          <w:szCs w:val="24"/>
        </w:rPr>
        <w:t>% for BME staff</w:t>
      </w:r>
      <w:r w:rsidRPr="00ED4340">
        <w:rPr>
          <w:rFonts w:ascii="Arial" w:hAnsi="Arial" w:cs="Arial"/>
          <w:color w:val="0070C0"/>
          <w:sz w:val="24"/>
          <w:szCs w:val="24"/>
        </w:rPr>
        <w:t xml:space="preserve"> </w:t>
      </w:r>
      <w:r w:rsidR="006C1850" w:rsidRPr="00ED4340">
        <w:rPr>
          <w:rFonts w:ascii="Arial" w:hAnsi="Arial" w:cs="Arial"/>
          <w:color w:val="0070C0"/>
          <w:sz w:val="24"/>
          <w:szCs w:val="24"/>
        </w:rPr>
        <w:t>who believe the Trust provides equal opportunities for career progression or promotion.  There has also been a decrease of 2%</w:t>
      </w:r>
      <w:r w:rsidR="00ED4340" w:rsidRPr="00ED4340">
        <w:rPr>
          <w:rFonts w:ascii="Arial" w:hAnsi="Arial" w:cs="Arial"/>
          <w:color w:val="0070C0"/>
          <w:sz w:val="24"/>
          <w:szCs w:val="24"/>
        </w:rPr>
        <w:t xml:space="preserve"> for White staff.  Comparatively 25</w:t>
      </w:r>
      <w:r w:rsidR="00A10E77" w:rsidRPr="00ED4340">
        <w:rPr>
          <w:rFonts w:ascii="Arial" w:hAnsi="Arial" w:cs="Arial"/>
          <w:color w:val="0070C0"/>
          <w:sz w:val="24"/>
          <w:szCs w:val="24"/>
        </w:rPr>
        <w:t xml:space="preserve">% less BME staff than White staff believe the Trust provides equal opportunities for career progression or promotion.     </w:t>
      </w:r>
    </w:p>
    <w:p w:rsidR="000E35F2" w:rsidRPr="00ED4340" w:rsidRDefault="000E35F2" w:rsidP="000E35F2">
      <w:pPr>
        <w:rPr>
          <w:rFonts w:ascii="Arial" w:hAnsi="Arial" w:cs="Arial"/>
          <w:color w:val="0070C0"/>
          <w:sz w:val="24"/>
          <w:szCs w:val="24"/>
        </w:rPr>
      </w:pPr>
      <w:r w:rsidRPr="00ED4340">
        <w:rPr>
          <w:rFonts w:ascii="Arial" w:hAnsi="Arial" w:cs="Arial"/>
          <w:color w:val="0070C0"/>
          <w:sz w:val="24"/>
          <w:szCs w:val="24"/>
        </w:rPr>
        <w:t xml:space="preserve">For the </w:t>
      </w:r>
      <w:r w:rsidRPr="0054575D">
        <w:rPr>
          <w:rFonts w:ascii="Arial" w:hAnsi="Arial" w:cs="Arial"/>
          <w:color w:val="0070C0"/>
          <w:sz w:val="24"/>
          <w:szCs w:val="24"/>
        </w:rPr>
        <w:t>Trust</w:t>
      </w:r>
      <w:r w:rsidR="00C909A4" w:rsidRPr="0054575D">
        <w:rPr>
          <w:rFonts w:ascii="Arial" w:hAnsi="Arial" w:cs="Arial"/>
          <w:color w:val="0070C0"/>
          <w:sz w:val="24"/>
          <w:szCs w:val="24"/>
        </w:rPr>
        <w:t>’</w:t>
      </w:r>
      <w:r w:rsidRPr="0054575D">
        <w:rPr>
          <w:rFonts w:ascii="Arial" w:hAnsi="Arial" w:cs="Arial"/>
          <w:color w:val="0070C0"/>
          <w:sz w:val="24"/>
          <w:szCs w:val="24"/>
        </w:rPr>
        <w:t>s</w:t>
      </w:r>
      <w:r w:rsidRPr="00ED4340">
        <w:rPr>
          <w:rFonts w:ascii="Arial" w:hAnsi="Arial" w:cs="Arial"/>
          <w:color w:val="0070C0"/>
          <w:sz w:val="24"/>
          <w:szCs w:val="24"/>
        </w:rPr>
        <w:t xml:space="preserve"> overall Staff Survey results there was a deterioration of </w:t>
      </w:r>
      <w:r w:rsidR="00ED4340" w:rsidRPr="00ED4340">
        <w:rPr>
          <w:rFonts w:ascii="Arial" w:hAnsi="Arial" w:cs="Arial"/>
          <w:color w:val="0070C0"/>
          <w:sz w:val="24"/>
          <w:szCs w:val="24"/>
        </w:rPr>
        <w:t>2.8</w:t>
      </w:r>
      <w:r w:rsidR="00E9481B" w:rsidRPr="00ED4340">
        <w:rPr>
          <w:rFonts w:ascii="Arial" w:hAnsi="Arial" w:cs="Arial"/>
          <w:color w:val="0070C0"/>
          <w:sz w:val="24"/>
          <w:szCs w:val="24"/>
        </w:rPr>
        <w:t>%</w:t>
      </w:r>
      <w:r w:rsidRPr="00ED4340">
        <w:rPr>
          <w:rFonts w:ascii="Arial" w:hAnsi="Arial" w:cs="Arial"/>
          <w:color w:val="0070C0"/>
          <w:sz w:val="24"/>
          <w:szCs w:val="24"/>
        </w:rPr>
        <w:t xml:space="preserve"> for this question, from the previous year and the Trust was </w:t>
      </w:r>
      <w:r w:rsidR="00E9481B" w:rsidRPr="00ED4340">
        <w:rPr>
          <w:rFonts w:ascii="Arial" w:hAnsi="Arial" w:cs="Arial"/>
          <w:color w:val="0070C0"/>
          <w:sz w:val="24"/>
          <w:szCs w:val="24"/>
        </w:rPr>
        <w:t xml:space="preserve">slightly </w:t>
      </w:r>
      <w:r w:rsidRPr="00ED4340">
        <w:rPr>
          <w:rFonts w:ascii="Arial" w:hAnsi="Arial" w:cs="Arial"/>
          <w:color w:val="0070C0"/>
          <w:sz w:val="24"/>
          <w:szCs w:val="24"/>
        </w:rPr>
        <w:t>worse than the national average.</w:t>
      </w:r>
    </w:p>
    <w:p w:rsidR="001F7F0A" w:rsidRPr="00ED4340" w:rsidRDefault="001F7F0A" w:rsidP="001F7F0A">
      <w:pPr>
        <w:rPr>
          <w:rFonts w:ascii="Arial" w:hAnsi="Arial" w:cs="Arial"/>
          <w:sz w:val="24"/>
          <w:szCs w:val="24"/>
        </w:rPr>
      </w:pPr>
      <w:r w:rsidRPr="00ED4340">
        <w:rPr>
          <w:rFonts w:ascii="Arial" w:hAnsi="Arial" w:cs="Arial"/>
          <w:sz w:val="24"/>
          <w:szCs w:val="24"/>
        </w:rPr>
        <w:t xml:space="preserve">Action taken and planned including e.g. does the indicator link to EDS2 evidence and/or a corporate Equality Objective </w:t>
      </w:r>
    </w:p>
    <w:p w:rsidR="00ED4340" w:rsidRPr="0054575D" w:rsidRDefault="0002427E" w:rsidP="001F7F0A">
      <w:pPr>
        <w:rPr>
          <w:rFonts w:ascii="Arial" w:hAnsi="Arial" w:cs="Arial"/>
          <w:bCs/>
          <w:color w:val="0070C0"/>
          <w:sz w:val="24"/>
          <w:szCs w:val="24"/>
        </w:rPr>
      </w:pPr>
      <w:r w:rsidRPr="0054575D">
        <w:rPr>
          <w:rFonts w:ascii="Arial" w:hAnsi="Arial" w:cs="Arial"/>
          <w:bCs/>
          <w:color w:val="0070C0"/>
          <w:sz w:val="24"/>
          <w:szCs w:val="24"/>
        </w:rPr>
        <w:t xml:space="preserve">The Trust will work collaboratively with the BAME staff network to </w:t>
      </w:r>
      <w:r w:rsidR="004004D8" w:rsidRPr="0054575D">
        <w:rPr>
          <w:rFonts w:ascii="Arial" w:hAnsi="Arial" w:cs="Arial"/>
          <w:bCs/>
          <w:color w:val="0070C0"/>
          <w:sz w:val="24"/>
          <w:szCs w:val="24"/>
        </w:rPr>
        <w:t>deep dive into this data and to carry out a proper analysis of the racial disparity. The Trust is committed to ensuring</w:t>
      </w:r>
      <w:r w:rsidRPr="0054575D">
        <w:rPr>
          <w:rFonts w:ascii="Arial" w:hAnsi="Arial" w:cs="Arial"/>
          <w:bCs/>
          <w:color w:val="0070C0"/>
          <w:sz w:val="24"/>
          <w:szCs w:val="24"/>
        </w:rPr>
        <w:t xml:space="preserve"> that there’s a BAME representative on senior recruitment panels, including Consultants.</w:t>
      </w:r>
    </w:p>
    <w:p w:rsidR="001F7F0A" w:rsidRPr="00ED4340" w:rsidRDefault="001F7F0A" w:rsidP="001F7F0A">
      <w:pPr>
        <w:rPr>
          <w:rFonts w:ascii="Arial" w:hAnsi="Arial" w:cs="Arial"/>
          <w:sz w:val="24"/>
          <w:szCs w:val="24"/>
        </w:rPr>
      </w:pPr>
      <w:r w:rsidRPr="00ED4340">
        <w:rPr>
          <w:rFonts w:ascii="Arial" w:hAnsi="Arial" w:cs="Arial"/>
          <w:b/>
          <w:bCs/>
          <w:sz w:val="24"/>
          <w:szCs w:val="24"/>
        </w:rPr>
        <w:t xml:space="preserve">24. </w:t>
      </w:r>
      <w:r w:rsidR="00694E0D" w:rsidRPr="00ED4340">
        <w:rPr>
          <w:rFonts w:ascii="Arial" w:hAnsi="Arial" w:cs="Arial"/>
          <w:b/>
          <w:bCs/>
          <w:sz w:val="24"/>
          <w:szCs w:val="24"/>
        </w:rPr>
        <w:t>I</w:t>
      </w:r>
      <w:r w:rsidRPr="00ED4340">
        <w:rPr>
          <w:rFonts w:ascii="Arial" w:hAnsi="Arial" w:cs="Arial"/>
          <w:b/>
          <w:bCs/>
          <w:sz w:val="24"/>
          <w:szCs w:val="24"/>
        </w:rPr>
        <w:t xml:space="preserve">n the last 12 months have you personally experienced discrimination at work from any of the following? b) Manager/team leader or other colleagues </w:t>
      </w:r>
    </w:p>
    <w:p w:rsidR="001F7F0A" w:rsidRPr="00ED4340" w:rsidRDefault="001F7F0A" w:rsidP="001F7F0A">
      <w:pPr>
        <w:rPr>
          <w:rFonts w:ascii="Arial" w:hAnsi="Arial" w:cs="Arial"/>
          <w:sz w:val="24"/>
          <w:szCs w:val="24"/>
        </w:rPr>
      </w:pPr>
      <w:r w:rsidRPr="00ED4340">
        <w:rPr>
          <w:rFonts w:ascii="Arial" w:hAnsi="Arial" w:cs="Arial"/>
          <w:sz w:val="24"/>
          <w:szCs w:val="24"/>
        </w:rPr>
        <w:t xml:space="preserve">Data for reporting year: </w:t>
      </w:r>
    </w:p>
    <w:p w:rsidR="001F7F0A" w:rsidRPr="00ED4340" w:rsidRDefault="001F7F0A" w:rsidP="001F7F0A">
      <w:pPr>
        <w:rPr>
          <w:rFonts w:ascii="Arial" w:hAnsi="Arial" w:cs="Arial"/>
          <w:color w:val="0070C0"/>
          <w:sz w:val="24"/>
          <w:szCs w:val="24"/>
        </w:rPr>
      </w:pPr>
      <w:r w:rsidRPr="00ED4340">
        <w:rPr>
          <w:rFonts w:ascii="Arial" w:hAnsi="Arial" w:cs="Arial"/>
          <w:sz w:val="24"/>
          <w:szCs w:val="24"/>
        </w:rPr>
        <w:t xml:space="preserve">White </w:t>
      </w:r>
      <w:r w:rsidR="00694E0D" w:rsidRPr="00ED4340">
        <w:rPr>
          <w:rFonts w:ascii="Arial" w:hAnsi="Arial" w:cs="Arial"/>
          <w:color w:val="0070C0"/>
          <w:sz w:val="24"/>
          <w:szCs w:val="24"/>
        </w:rPr>
        <w:t>8</w:t>
      </w:r>
      <w:r w:rsidR="00285C1A" w:rsidRPr="00ED4340">
        <w:rPr>
          <w:rFonts w:ascii="Arial" w:hAnsi="Arial" w:cs="Arial"/>
          <w:color w:val="0070C0"/>
          <w:sz w:val="24"/>
          <w:szCs w:val="24"/>
        </w:rPr>
        <w:t>%</w:t>
      </w:r>
    </w:p>
    <w:p w:rsidR="001F7F0A" w:rsidRPr="00ED4340" w:rsidRDefault="001F7F0A" w:rsidP="001F7F0A">
      <w:pPr>
        <w:rPr>
          <w:rFonts w:ascii="Arial" w:hAnsi="Arial" w:cs="Arial"/>
          <w:color w:val="0070C0"/>
          <w:sz w:val="24"/>
          <w:szCs w:val="24"/>
        </w:rPr>
      </w:pPr>
      <w:r w:rsidRPr="00ED4340">
        <w:rPr>
          <w:rFonts w:ascii="Arial" w:hAnsi="Arial" w:cs="Arial"/>
          <w:sz w:val="24"/>
          <w:szCs w:val="24"/>
        </w:rPr>
        <w:t xml:space="preserve">BME </w:t>
      </w:r>
      <w:r w:rsidR="00694E0D" w:rsidRPr="00ED4340">
        <w:rPr>
          <w:rFonts w:ascii="Arial" w:hAnsi="Arial" w:cs="Arial"/>
          <w:color w:val="0070C0"/>
          <w:sz w:val="24"/>
          <w:szCs w:val="24"/>
        </w:rPr>
        <w:t>2</w:t>
      </w:r>
      <w:r w:rsidR="00ED4340" w:rsidRPr="00ED4340">
        <w:rPr>
          <w:rFonts w:ascii="Arial" w:hAnsi="Arial" w:cs="Arial"/>
          <w:color w:val="0070C0"/>
          <w:sz w:val="24"/>
          <w:szCs w:val="24"/>
        </w:rPr>
        <w:t>1</w:t>
      </w:r>
      <w:r w:rsidR="00285C1A" w:rsidRPr="00ED4340">
        <w:rPr>
          <w:rFonts w:ascii="Arial" w:hAnsi="Arial" w:cs="Arial"/>
          <w:color w:val="0070C0"/>
          <w:sz w:val="24"/>
          <w:szCs w:val="24"/>
        </w:rPr>
        <w:t>%</w:t>
      </w:r>
    </w:p>
    <w:p w:rsidR="001F7F0A" w:rsidRPr="00ED4340" w:rsidRDefault="001F7F0A" w:rsidP="001F7F0A">
      <w:pPr>
        <w:rPr>
          <w:rFonts w:ascii="Arial" w:hAnsi="Arial" w:cs="Arial"/>
          <w:sz w:val="24"/>
          <w:szCs w:val="24"/>
        </w:rPr>
      </w:pPr>
      <w:r w:rsidRPr="00ED4340">
        <w:rPr>
          <w:rFonts w:ascii="Arial" w:hAnsi="Arial" w:cs="Arial"/>
          <w:sz w:val="24"/>
          <w:szCs w:val="24"/>
        </w:rPr>
        <w:t xml:space="preserve">Data for previous year: </w:t>
      </w:r>
    </w:p>
    <w:p w:rsidR="009222B0" w:rsidRPr="00ED4340" w:rsidRDefault="009222B0" w:rsidP="009222B0">
      <w:pPr>
        <w:rPr>
          <w:rFonts w:ascii="Arial" w:hAnsi="Arial" w:cs="Arial"/>
          <w:color w:val="0070C0"/>
          <w:sz w:val="24"/>
          <w:szCs w:val="24"/>
        </w:rPr>
      </w:pPr>
      <w:r w:rsidRPr="00ED4340">
        <w:rPr>
          <w:rFonts w:ascii="Arial" w:hAnsi="Arial" w:cs="Arial"/>
          <w:sz w:val="24"/>
          <w:szCs w:val="24"/>
        </w:rPr>
        <w:t xml:space="preserve">White </w:t>
      </w:r>
      <w:r w:rsidR="00694E0D" w:rsidRPr="00ED4340">
        <w:rPr>
          <w:rFonts w:ascii="Arial" w:hAnsi="Arial" w:cs="Arial"/>
          <w:color w:val="0070C0"/>
          <w:sz w:val="24"/>
          <w:szCs w:val="24"/>
        </w:rPr>
        <w:t>8</w:t>
      </w:r>
      <w:r w:rsidRPr="00ED4340">
        <w:rPr>
          <w:rFonts w:ascii="Arial" w:hAnsi="Arial" w:cs="Arial"/>
          <w:color w:val="0070C0"/>
          <w:sz w:val="24"/>
          <w:szCs w:val="24"/>
        </w:rPr>
        <w:t>%</w:t>
      </w:r>
    </w:p>
    <w:p w:rsidR="009222B0" w:rsidRPr="00ED4340" w:rsidRDefault="009222B0" w:rsidP="009222B0">
      <w:pPr>
        <w:rPr>
          <w:rFonts w:ascii="Arial" w:hAnsi="Arial" w:cs="Arial"/>
          <w:color w:val="0070C0"/>
          <w:sz w:val="24"/>
          <w:szCs w:val="24"/>
        </w:rPr>
      </w:pPr>
      <w:r w:rsidRPr="00ED4340">
        <w:rPr>
          <w:rFonts w:ascii="Arial" w:hAnsi="Arial" w:cs="Arial"/>
          <w:sz w:val="24"/>
          <w:szCs w:val="24"/>
        </w:rPr>
        <w:t xml:space="preserve">BME </w:t>
      </w:r>
      <w:r w:rsidR="00ED4340" w:rsidRPr="00ED4340">
        <w:rPr>
          <w:rFonts w:ascii="Arial" w:hAnsi="Arial" w:cs="Arial"/>
          <w:color w:val="0070C0"/>
          <w:sz w:val="24"/>
          <w:szCs w:val="24"/>
        </w:rPr>
        <w:t>20</w:t>
      </w:r>
      <w:r w:rsidRPr="00ED4340">
        <w:rPr>
          <w:rFonts w:ascii="Arial" w:hAnsi="Arial" w:cs="Arial"/>
          <w:color w:val="0070C0"/>
          <w:sz w:val="24"/>
          <w:szCs w:val="24"/>
        </w:rPr>
        <w:t>%</w:t>
      </w:r>
    </w:p>
    <w:p w:rsidR="001F7F0A" w:rsidRPr="00ED4340" w:rsidRDefault="001F7F0A" w:rsidP="001F7F0A">
      <w:pPr>
        <w:rPr>
          <w:rFonts w:ascii="Arial" w:hAnsi="Arial" w:cs="Arial"/>
          <w:sz w:val="24"/>
          <w:szCs w:val="24"/>
        </w:rPr>
      </w:pPr>
      <w:r w:rsidRPr="00ED4340">
        <w:rPr>
          <w:rFonts w:ascii="Arial" w:hAnsi="Arial" w:cs="Arial"/>
          <w:sz w:val="24"/>
          <w:szCs w:val="24"/>
        </w:rPr>
        <w:lastRenderedPageBreak/>
        <w:t xml:space="preserve">The implications of the data and any additional background explanatory narrative </w:t>
      </w:r>
    </w:p>
    <w:p w:rsidR="00285C1A" w:rsidRPr="00ED4340" w:rsidRDefault="004660E9" w:rsidP="00285C1A">
      <w:pPr>
        <w:rPr>
          <w:rFonts w:ascii="Arial" w:hAnsi="Arial" w:cs="Arial"/>
          <w:bCs/>
          <w:color w:val="0070C0"/>
          <w:sz w:val="24"/>
          <w:szCs w:val="24"/>
        </w:rPr>
      </w:pPr>
      <w:r w:rsidRPr="00ED4340">
        <w:rPr>
          <w:rFonts w:ascii="Arial" w:hAnsi="Arial" w:cs="Arial"/>
          <w:color w:val="0070C0"/>
          <w:sz w:val="24"/>
          <w:szCs w:val="24"/>
        </w:rPr>
        <w:t>T</w:t>
      </w:r>
      <w:r w:rsidR="00285C1A" w:rsidRPr="00ED4340">
        <w:rPr>
          <w:rFonts w:ascii="Arial" w:hAnsi="Arial" w:cs="Arial"/>
          <w:color w:val="0070C0"/>
          <w:sz w:val="24"/>
          <w:szCs w:val="24"/>
        </w:rPr>
        <w:t>here has been a</w:t>
      </w:r>
      <w:r w:rsidR="009222B0" w:rsidRPr="00ED4340">
        <w:rPr>
          <w:rFonts w:ascii="Arial" w:hAnsi="Arial" w:cs="Arial"/>
          <w:color w:val="0070C0"/>
          <w:sz w:val="24"/>
          <w:szCs w:val="24"/>
        </w:rPr>
        <w:t xml:space="preserve"> deterioration </w:t>
      </w:r>
      <w:r w:rsidR="00285C1A" w:rsidRPr="00ED4340">
        <w:rPr>
          <w:rFonts w:ascii="Arial" w:hAnsi="Arial" w:cs="Arial"/>
          <w:color w:val="0070C0"/>
          <w:sz w:val="24"/>
          <w:szCs w:val="24"/>
        </w:rPr>
        <w:t>in this area for BME</w:t>
      </w:r>
      <w:r w:rsidR="00694E0D" w:rsidRPr="00ED4340">
        <w:rPr>
          <w:rFonts w:ascii="Arial" w:hAnsi="Arial" w:cs="Arial"/>
          <w:color w:val="0070C0"/>
          <w:sz w:val="24"/>
          <w:szCs w:val="24"/>
        </w:rPr>
        <w:t xml:space="preserve"> </w:t>
      </w:r>
      <w:r w:rsidR="00BE067B" w:rsidRPr="00ED4340">
        <w:rPr>
          <w:rFonts w:ascii="Arial" w:hAnsi="Arial" w:cs="Arial"/>
          <w:color w:val="0070C0"/>
          <w:sz w:val="24"/>
          <w:szCs w:val="24"/>
        </w:rPr>
        <w:t xml:space="preserve">staff </w:t>
      </w:r>
      <w:r w:rsidR="00694E0D" w:rsidRPr="00ED4340">
        <w:rPr>
          <w:rFonts w:ascii="Arial" w:hAnsi="Arial" w:cs="Arial"/>
          <w:color w:val="0070C0"/>
          <w:sz w:val="24"/>
          <w:szCs w:val="24"/>
        </w:rPr>
        <w:t xml:space="preserve">by </w:t>
      </w:r>
      <w:r w:rsidR="00ED4340" w:rsidRPr="00ED4340">
        <w:rPr>
          <w:rFonts w:ascii="Arial" w:hAnsi="Arial" w:cs="Arial"/>
          <w:color w:val="0070C0"/>
          <w:sz w:val="24"/>
          <w:szCs w:val="24"/>
        </w:rPr>
        <w:t>1</w:t>
      </w:r>
      <w:r w:rsidR="00694E0D" w:rsidRPr="00ED4340">
        <w:rPr>
          <w:rFonts w:ascii="Arial" w:hAnsi="Arial" w:cs="Arial"/>
          <w:color w:val="0070C0"/>
          <w:sz w:val="24"/>
          <w:szCs w:val="24"/>
        </w:rPr>
        <w:t>%.  White staff remains unchanged since 201</w:t>
      </w:r>
      <w:r w:rsidR="00ED4340" w:rsidRPr="00ED4340">
        <w:rPr>
          <w:rFonts w:ascii="Arial" w:hAnsi="Arial" w:cs="Arial"/>
          <w:color w:val="0070C0"/>
          <w:sz w:val="24"/>
          <w:szCs w:val="24"/>
        </w:rPr>
        <w:t>9</w:t>
      </w:r>
      <w:r w:rsidR="00694E0D" w:rsidRPr="00ED4340">
        <w:rPr>
          <w:rFonts w:ascii="Arial" w:hAnsi="Arial" w:cs="Arial"/>
          <w:color w:val="0070C0"/>
          <w:sz w:val="24"/>
          <w:szCs w:val="24"/>
        </w:rPr>
        <w:t>.</w:t>
      </w:r>
      <w:r w:rsidR="00EB6927" w:rsidRPr="00ED4340">
        <w:rPr>
          <w:rFonts w:ascii="Arial" w:hAnsi="Arial" w:cs="Arial"/>
          <w:color w:val="0070C0"/>
          <w:sz w:val="24"/>
          <w:szCs w:val="24"/>
        </w:rPr>
        <w:t xml:space="preserve">  </w:t>
      </w:r>
      <w:r w:rsidR="00A10E77" w:rsidRPr="00ED4340">
        <w:rPr>
          <w:rFonts w:ascii="Arial" w:hAnsi="Arial" w:cs="Arial"/>
          <w:color w:val="0070C0"/>
          <w:sz w:val="24"/>
          <w:szCs w:val="24"/>
        </w:rPr>
        <w:t>Comparatively 1</w:t>
      </w:r>
      <w:r w:rsidR="00ED4340" w:rsidRPr="00ED4340">
        <w:rPr>
          <w:rFonts w:ascii="Arial" w:hAnsi="Arial" w:cs="Arial"/>
          <w:color w:val="0070C0"/>
          <w:sz w:val="24"/>
          <w:szCs w:val="24"/>
        </w:rPr>
        <w:t>3</w:t>
      </w:r>
      <w:r w:rsidR="00A10E77" w:rsidRPr="00ED4340">
        <w:rPr>
          <w:rFonts w:ascii="Arial" w:hAnsi="Arial" w:cs="Arial"/>
          <w:color w:val="0070C0"/>
          <w:sz w:val="24"/>
          <w:szCs w:val="24"/>
        </w:rPr>
        <w:t xml:space="preserve">% more BME staff than White staff have personally experienced discrimination at work.     </w:t>
      </w:r>
    </w:p>
    <w:p w:rsidR="00EA796E" w:rsidRPr="00ED4340" w:rsidRDefault="00EA796E" w:rsidP="00EA796E">
      <w:pPr>
        <w:rPr>
          <w:rFonts w:ascii="Arial" w:hAnsi="Arial" w:cs="Arial"/>
          <w:color w:val="0070C0"/>
          <w:sz w:val="24"/>
          <w:szCs w:val="24"/>
        </w:rPr>
      </w:pPr>
      <w:r w:rsidRPr="00ED4340">
        <w:rPr>
          <w:rFonts w:ascii="Arial" w:hAnsi="Arial" w:cs="Arial"/>
          <w:color w:val="0070C0"/>
          <w:sz w:val="24"/>
          <w:szCs w:val="24"/>
        </w:rPr>
        <w:t>For the Trust</w:t>
      </w:r>
      <w:r w:rsidR="00C909A4" w:rsidRPr="00ED4340">
        <w:rPr>
          <w:rFonts w:ascii="Arial" w:hAnsi="Arial" w:cs="Arial"/>
          <w:color w:val="0070C0"/>
          <w:sz w:val="24"/>
          <w:szCs w:val="24"/>
        </w:rPr>
        <w:t>’</w:t>
      </w:r>
      <w:r w:rsidRPr="00ED4340">
        <w:rPr>
          <w:rFonts w:ascii="Arial" w:hAnsi="Arial" w:cs="Arial"/>
          <w:color w:val="0070C0"/>
          <w:sz w:val="24"/>
          <w:szCs w:val="24"/>
        </w:rPr>
        <w:t>s overall Staff Survey results there was a deterioration of 0.</w:t>
      </w:r>
      <w:r w:rsidR="00ED4340" w:rsidRPr="00ED4340">
        <w:rPr>
          <w:rFonts w:ascii="Arial" w:hAnsi="Arial" w:cs="Arial"/>
          <w:color w:val="0070C0"/>
          <w:sz w:val="24"/>
          <w:szCs w:val="24"/>
        </w:rPr>
        <w:t>2</w:t>
      </w:r>
      <w:r w:rsidRPr="00ED4340">
        <w:rPr>
          <w:rFonts w:ascii="Arial" w:hAnsi="Arial" w:cs="Arial"/>
          <w:color w:val="0070C0"/>
          <w:sz w:val="24"/>
          <w:szCs w:val="24"/>
        </w:rPr>
        <w:t>% for this question, from the previous year and the Trust was worse than the national average.</w:t>
      </w:r>
    </w:p>
    <w:p w:rsidR="001F7F0A" w:rsidRPr="00ED4340" w:rsidRDefault="001F7F0A" w:rsidP="001F7F0A">
      <w:pPr>
        <w:rPr>
          <w:rFonts w:ascii="Arial" w:hAnsi="Arial" w:cs="Arial"/>
          <w:sz w:val="24"/>
          <w:szCs w:val="24"/>
        </w:rPr>
      </w:pPr>
      <w:r w:rsidRPr="00ED4340">
        <w:rPr>
          <w:rFonts w:ascii="Arial" w:hAnsi="Arial" w:cs="Arial"/>
          <w:sz w:val="24"/>
          <w:szCs w:val="24"/>
        </w:rPr>
        <w:t xml:space="preserve">Action taken and planned including e.g. does the indicator link to EDS2 evidence and/or a corporate Equality Objective </w:t>
      </w:r>
    </w:p>
    <w:p w:rsidR="00171450" w:rsidRPr="0054575D" w:rsidRDefault="0002427E" w:rsidP="0002427E">
      <w:pPr>
        <w:rPr>
          <w:rFonts w:ascii="Arial" w:hAnsi="Arial" w:cs="Arial"/>
          <w:color w:val="0070C0"/>
          <w:sz w:val="24"/>
          <w:szCs w:val="24"/>
        </w:rPr>
      </w:pPr>
      <w:r w:rsidRPr="0054575D">
        <w:rPr>
          <w:rFonts w:ascii="Arial" w:hAnsi="Arial" w:cs="Arial"/>
          <w:color w:val="0070C0"/>
          <w:sz w:val="24"/>
          <w:szCs w:val="24"/>
        </w:rPr>
        <w:t>The Trust will work collaboratively with the BAME staff network to undertake a complete review of supporting victims of alleged discrimination.</w:t>
      </w:r>
      <w:r w:rsidR="00BA3C54" w:rsidRPr="0054575D">
        <w:rPr>
          <w:rFonts w:ascii="Arial" w:hAnsi="Arial" w:cs="Arial"/>
          <w:color w:val="0070C0"/>
          <w:sz w:val="24"/>
          <w:szCs w:val="24"/>
        </w:rPr>
        <w:t xml:space="preserve"> </w:t>
      </w:r>
      <w:r w:rsidR="004004D8" w:rsidRPr="0054575D">
        <w:rPr>
          <w:rFonts w:ascii="Arial" w:hAnsi="Arial" w:cs="Arial"/>
          <w:color w:val="0070C0"/>
          <w:sz w:val="24"/>
          <w:szCs w:val="24"/>
        </w:rPr>
        <w:t>This is likely to see the implementation of Cultural Ambassadors or its equivalent who can offer some initial support to the victim of discrimination.</w:t>
      </w:r>
    </w:p>
    <w:p w:rsidR="00ED4340" w:rsidRPr="003251A9" w:rsidRDefault="00ED4340" w:rsidP="004660E9">
      <w:pPr>
        <w:rPr>
          <w:rFonts w:ascii="Arial" w:hAnsi="Arial" w:cs="Arial"/>
          <w:color w:val="0070C0"/>
          <w:sz w:val="24"/>
          <w:szCs w:val="24"/>
          <w:highlight w:val="yellow"/>
        </w:rPr>
      </w:pPr>
    </w:p>
    <w:p w:rsidR="001F7F0A" w:rsidRPr="000F3986" w:rsidRDefault="001F7F0A" w:rsidP="001F7F0A">
      <w:pPr>
        <w:rPr>
          <w:rFonts w:ascii="Arial" w:hAnsi="Arial" w:cs="Arial"/>
          <w:sz w:val="24"/>
          <w:szCs w:val="24"/>
        </w:rPr>
      </w:pPr>
      <w:r w:rsidRPr="000F3986">
        <w:rPr>
          <w:rFonts w:ascii="Arial" w:hAnsi="Arial" w:cs="Arial"/>
          <w:b/>
          <w:bCs/>
          <w:sz w:val="24"/>
          <w:szCs w:val="24"/>
        </w:rPr>
        <w:t xml:space="preserve">Board representation indicator </w:t>
      </w:r>
    </w:p>
    <w:p w:rsidR="001F7F0A" w:rsidRPr="000F3986" w:rsidRDefault="001F7F0A" w:rsidP="001F7F0A">
      <w:pPr>
        <w:rPr>
          <w:rFonts w:ascii="Arial" w:hAnsi="Arial" w:cs="Arial"/>
          <w:sz w:val="24"/>
          <w:szCs w:val="24"/>
        </w:rPr>
      </w:pPr>
      <w:r w:rsidRPr="000F3986">
        <w:rPr>
          <w:rFonts w:ascii="Arial" w:hAnsi="Arial" w:cs="Arial"/>
          <w:b/>
          <w:bCs/>
          <w:sz w:val="24"/>
          <w:szCs w:val="24"/>
        </w:rPr>
        <w:t>For this indicator, compare the dif</w:t>
      </w:r>
      <w:r w:rsidR="006E3809">
        <w:rPr>
          <w:rFonts w:ascii="Arial" w:hAnsi="Arial" w:cs="Arial"/>
          <w:b/>
          <w:bCs/>
          <w:sz w:val="24"/>
          <w:szCs w:val="24"/>
        </w:rPr>
        <w:t>ference for White and BME staff</w:t>
      </w:r>
      <w:r w:rsidRPr="000F3986">
        <w:rPr>
          <w:rFonts w:ascii="Arial" w:hAnsi="Arial" w:cs="Arial"/>
          <w:b/>
          <w:bCs/>
          <w:sz w:val="24"/>
          <w:szCs w:val="24"/>
        </w:rPr>
        <w:t xml:space="preserve"> </w:t>
      </w:r>
    </w:p>
    <w:p w:rsidR="001F7F0A" w:rsidRPr="000F3986" w:rsidRDefault="001F7F0A" w:rsidP="001F7F0A">
      <w:pPr>
        <w:rPr>
          <w:rFonts w:ascii="Arial" w:hAnsi="Arial" w:cs="Arial"/>
          <w:b/>
          <w:bCs/>
          <w:sz w:val="24"/>
          <w:szCs w:val="24"/>
        </w:rPr>
      </w:pPr>
      <w:r w:rsidRPr="000F3986">
        <w:rPr>
          <w:rFonts w:ascii="Arial" w:hAnsi="Arial" w:cs="Arial"/>
          <w:b/>
          <w:bCs/>
          <w:sz w:val="24"/>
          <w:szCs w:val="24"/>
        </w:rPr>
        <w:t xml:space="preserve">25. Percentage difference between the organisations’ Board voting membership and its overall workforce </w:t>
      </w:r>
    </w:p>
    <w:p w:rsidR="00A20755" w:rsidRPr="000F3986" w:rsidRDefault="00A20755" w:rsidP="00A20755">
      <w:pPr>
        <w:rPr>
          <w:rFonts w:ascii="Arial" w:hAnsi="Arial" w:cs="Arial"/>
          <w:sz w:val="24"/>
          <w:szCs w:val="24"/>
        </w:rPr>
      </w:pPr>
      <w:r w:rsidRPr="000F3986">
        <w:rPr>
          <w:rFonts w:ascii="Arial" w:hAnsi="Arial" w:cs="Arial"/>
          <w:sz w:val="24"/>
          <w:szCs w:val="24"/>
        </w:rPr>
        <w:t xml:space="preserve">Data for reporting year: </w:t>
      </w:r>
    </w:p>
    <w:p w:rsidR="00D8101D" w:rsidRPr="000F3986" w:rsidRDefault="00D8101D" w:rsidP="001F7F0A">
      <w:pPr>
        <w:rPr>
          <w:rFonts w:ascii="Arial" w:hAnsi="Arial" w:cs="Arial"/>
          <w:bCs/>
          <w:color w:val="0070C0"/>
          <w:sz w:val="24"/>
          <w:szCs w:val="24"/>
        </w:rPr>
      </w:pPr>
      <w:r w:rsidRPr="000F3986">
        <w:rPr>
          <w:rFonts w:ascii="Arial" w:hAnsi="Arial" w:cs="Arial"/>
          <w:bCs/>
          <w:sz w:val="24"/>
          <w:szCs w:val="24"/>
        </w:rPr>
        <w:t xml:space="preserve">White </w:t>
      </w:r>
      <w:r w:rsidR="009A40C1" w:rsidRPr="000F3986">
        <w:rPr>
          <w:rFonts w:ascii="Arial" w:hAnsi="Arial" w:cs="Arial"/>
          <w:bCs/>
          <w:color w:val="0070C0"/>
          <w:sz w:val="24"/>
          <w:szCs w:val="24"/>
        </w:rPr>
        <w:t>2</w:t>
      </w:r>
      <w:r w:rsidR="00ED4340" w:rsidRPr="000F3986">
        <w:rPr>
          <w:rFonts w:ascii="Arial" w:hAnsi="Arial" w:cs="Arial"/>
          <w:bCs/>
          <w:color w:val="0070C0"/>
          <w:sz w:val="24"/>
          <w:szCs w:val="24"/>
        </w:rPr>
        <w:t>8.3</w:t>
      </w:r>
      <w:r w:rsidR="009A40C1" w:rsidRPr="000F3986">
        <w:rPr>
          <w:rFonts w:ascii="Arial" w:hAnsi="Arial" w:cs="Arial"/>
          <w:bCs/>
          <w:color w:val="0070C0"/>
          <w:sz w:val="24"/>
          <w:szCs w:val="24"/>
        </w:rPr>
        <w:t>%</w:t>
      </w:r>
    </w:p>
    <w:p w:rsidR="00B206F4" w:rsidRPr="000F3986" w:rsidRDefault="00B206F4" w:rsidP="001F7F0A">
      <w:pPr>
        <w:rPr>
          <w:rFonts w:ascii="Arial" w:hAnsi="Arial" w:cs="Arial"/>
          <w:bCs/>
          <w:sz w:val="24"/>
          <w:szCs w:val="24"/>
        </w:rPr>
      </w:pPr>
      <w:r w:rsidRPr="000F3986">
        <w:rPr>
          <w:rFonts w:ascii="Arial" w:hAnsi="Arial" w:cs="Arial"/>
          <w:bCs/>
          <w:sz w:val="24"/>
          <w:szCs w:val="24"/>
        </w:rPr>
        <w:t xml:space="preserve">BME </w:t>
      </w:r>
      <w:r w:rsidR="00CD1075" w:rsidRPr="000F3986">
        <w:rPr>
          <w:rFonts w:ascii="Arial" w:hAnsi="Arial" w:cs="Arial"/>
          <w:bCs/>
          <w:color w:val="0070C0"/>
          <w:sz w:val="24"/>
          <w:szCs w:val="24"/>
        </w:rPr>
        <w:t>-2</w:t>
      </w:r>
      <w:r w:rsidR="00ED4340" w:rsidRPr="000F3986">
        <w:rPr>
          <w:rFonts w:ascii="Arial" w:hAnsi="Arial" w:cs="Arial"/>
          <w:bCs/>
          <w:color w:val="0070C0"/>
          <w:sz w:val="24"/>
          <w:szCs w:val="24"/>
        </w:rPr>
        <w:t>4.4</w:t>
      </w:r>
      <w:r w:rsidRPr="000F3986">
        <w:rPr>
          <w:rFonts w:ascii="Arial" w:hAnsi="Arial" w:cs="Arial"/>
          <w:bCs/>
          <w:color w:val="0070C0"/>
          <w:sz w:val="24"/>
          <w:szCs w:val="24"/>
        </w:rPr>
        <w:t>%</w:t>
      </w:r>
    </w:p>
    <w:p w:rsidR="00A20755" w:rsidRPr="00ED4340" w:rsidRDefault="00A20755" w:rsidP="00A20755">
      <w:pPr>
        <w:rPr>
          <w:rFonts w:ascii="Arial" w:hAnsi="Arial" w:cs="Arial"/>
          <w:sz w:val="24"/>
          <w:szCs w:val="24"/>
        </w:rPr>
      </w:pPr>
      <w:r w:rsidRPr="00ED4340">
        <w:rPr>
          <w:rFonts w:ascii="Arial" w:hAnsi="Arial" w:cs="Arial"/>
          <w:sz w:val="24"/>
          <w:szCs w:val="24"/>
        </w:rPr>
        <w:t xml:space="preserve">Data for previous year: </w:t>
      </w:r>
    </w:p>
    <w:p w:rsidR="00A20755" w:rsidRPr="00ED4340" w:rsidRDefault="00A20755" w:rsidP="00A20755">
      <w:pPr>
        <w:rPr>
          <w:rFonts w:ascii="Arial" w:hAnsi="Arial" w:cs="Arial"/>
          <w:color w:val="0070C0"/>
          <w:sz w:val="24"/>
          <w:szCs w:val="24"/>
        </w:rPr>
      </w:pPr>
      <w:r w:rsidRPr="00ED4340">
        <w:rPr>
          <w:rFonts w:ascii="Arial" w:hAnsi="Arial" w:cs="Arial"/>
          <w:sz w:val="24"/>
          <w:szCs w:val="24"/>
        </w:rPr>
        <w:t xml:space="preserve">White </w:t>
      </w:r>
      <w:r w:rsidR="00ED4340" w:rsidRPr="00ED4340">
        <w:rPr>
          <w:rFonts w:ascii="Arial" w:hAnsi="Arial" w:cs="Arial"/>
          <w:color w:val="0070C0"/>
          <w:sz w:val="24"/>
          <w:szCs w:val="24"/>
        </w:rPr>
        <w:t>26.8</w:t>
      </w:r>
      <w:r w:rsidRPr="00ED4340">
        <w:rPr>
          <w:rFonts w:ascii="Arial" w:hAnsi="Arial" w:cs="Arial"/>
          <w:color w:val="0070C0"/>
          <w:sz w:val="24"/>
          <w:szCs w:val="24"/>
        </w:rPr>
        <w:t>%</w:t>
      </w:r>
    </w:p>
    <w:p w:rsidR="00A20755" w:rsidRPr="00ED4340" w:rsidRDefault="00A20755" w:rsidP="00A20755">
      <w:pPr>
        <w:rPr>
          <w:rFonts w:ascii="Arial" w:hAnsi="Arial" w:cs="Arial"/>
          <w:sz w:val="24"/>
          <w:szCs w:val="24"/>
        </w:rPr>
      </w:pPr>
      <w:r w:rsidRPr="00ED4340">
        <w:rPr>
          <w:rFonts w:ascii="Arial" w:hAnsi="Arial" w:cs="Arial"/>
          <w:sz w:val="24"/>
          <w:szCs w:val="24"/>
        </w:rPr>
        <w:t xml:space="preserve">BME </w:t>
      </w:r>
      <w:r w:rsidRPr="00ED4340">
        <w:rPr>
          <w:rFonts w:ascii="Arial" w:hAnsi="Arial" w:cs="Arial"/>
          <w:color w:val="0070C0"/>
          <w:sz w:val="24"/>
          <w:szCs w:val="24"/>
        </w:rPr>
        <w:t>-</w:t>
      </w:r>
      <w:r w:rsidR="009A40C1" w:rsidRPr="00ED4340">
        <w:rPr>
          <w:rFonts w:ascii="Arial" w:hAnsi="Arial" w:cs="Arial"/>
          <w:color w:val="0070C0"/>
          <w:sz w:val="24"/>
          <w:szCs w:val="24"/>
        </w:rPr>
        <w:t>2</w:t>
      </w:r>
      <w:r w:rsidR="00ED4340" w:rsidRPr="00ED4340">
        <w:rPr>
          <w:rFonts w:ascii="Arial" w:hAnsi="Arial" w:cs="Arial"/>
          <w:color w:val="0070C0"/>
          <w:sz w:val="24"/>
          <w:szCs w:val="24"/>
        </w:rPr>
        <w:t>2.8</w:t>
      </w:r>
      <w:r w:rsidRPr="00ED4340">
        <w:rPr>
          <w:rFonts w:ascii="Arial" w:hAnsi="Arial" w:cs="Arial"/>
          <w:color w:val="0070C0"/>
          <w:sz w:val="24"/>
          <w:szCs w:val="24"/>
        </w:rPr>
        <w:t>%</w:t>
      </w:r>
    </w:p>
    <w:p w:rsidR="00A20755" w:rsidRPr="00ED4340" w:rsidRDefault="00A20755" w:rsidP="00A20755">
      <w:pPr>
        <w:rPr>
          <w:rFonts w:ascii="Arial" w:hAnsi="Arial" w:cs="Arial"/>
          <w:b/>
          <w:bCs/>
          <w:sz w:val="24"/>
          <w:szCs w:val="24"/>
        </w:rPr>
      </w:pPr>
      <w:r w:rsidRPr="00ED4340">
        <w:rPr>
          <w:rFonts w:ascii="Arial" w:hAnsi="Arial" w:cs="Arial"/>
          <w:b/>
          <w:bCs/>
          <w:sz w:val="24"/>
          <w:szCs w:val="24"/>
        </w:rPr>
        <w:t>The implications of the data and any additional background explanatory narrative</w:t>
      </w:r>
    </w:p>
    <w:p w:rsidR="00A20755" w:rsidRDefault="00A20755" w:rsidP="00A20755">
      <w:pPr>
        <w:rPr>
          <w:rFonts w:ascii="Arial" w:hAnsi="Arial" w:cs="Arial"/>
          <w:color w:val="0070C0"/>
          <w:sz w:val="24"/>
          <w:szCs w:val="24"/>
        </w:rPr>
      </w:pPr>
      <w:r w:rsidRPr="00ED4340">
        <w:rPr>
          <w:rFonts w:ascii="Arial" w:hAnsi="Arial" w:cs="Arial"/>
          <w:color w:val="0070C0"/>
          <w:sz w:val="24"/>
          <w:szCs w:val="24"/>
        </w:rPr>
        <w:t xml:space="preserve">There has been </w:t>
      </w:r>
      <w:r w:rsidR="00BE067B" w:rsidRPr="00ED4340">
        <w:rPr>
          <w:rFonts w:ascii="Arial" w:hAnsi="Arial" w:cs="Arial"/>
          <w:color w:val="0070C0"/>
          <w:sz w:val="24"/>
          <w:szCs w:val="24"/>
        </w:rPr>
        <w:t>a</w:t>
      </w:r>
      <w:r w:rsidR="00CD1075" w:rsidRPr="00ED4340">
        <w:rPr>
          <w:rFonts w:ascii="Arial" w:hAnsi="Arial" w:cs="Arial"/>
          <w:color w:val="0070C0"/>
          <w:sz w:val="24"/>
          <w:szCs w:val="24"/>
        </w:rPr>
        <w:t xml:space="preserve"> </w:t>
      </w:r>
      <w:r w:rsidR="009A40C1" w:rsidRPr="00ED4340">
        <w:rPr>
          <w:rFonts w:ascii="Arial" w:hAnsi="Arial" w:cs="Arial"/>
          <w:color w:val="0070C0"/>
          <w:sz w:val="24"/>
          <w:szCs w:val="24"/>
        </w:rPr>
        <w:t xml:space="preserve">deterioration </w:t>
      </w:r>
      <w:r w:rsidR="00CD1075" w:rsidRPr="00ED4340">
        <w:rPr>
          <w:rFonts w:ascii="Arial" w:hAnsi="Arial" w:cs="Arial"/>
          <w:color w:val="0070C0"/>
          <w:sz w:val="24"/>
          <w:szCs w:val="24"/>
        </w:rPr>
        <w:t xml:space="preserve">of </w:t>
      </w:r>
      <w:r w:rsidR="009A40C1" w:rsidRPr="00ED4340">
        <w:rPr>
          <w:rFonts w:ascii="Arial" w:hAnsi="Arial" w:cs="Arial"/>
          <w:color w:val="0070C0"/>
          <w:sz w:val="24"/>
          <w:szCs w:val="24"/>
        </w:rPr>
        <w:t>1.</w:t>
      </w:r>
      <w:r w:rsidR="00ED4340" w:rsidRPr="00ED4340">
        <w:rPr>
          <w:rFonts w:ascii="Arial" w:hAnsi="Arial" w:cs="Arial"/>
          <w:color w:val="0070C0"/>
          <w:sz w:val="24"/>
          <w:szCs w:val="24"/>
        </w:rPr>
        <w:t>6</w:t>
      </w:r>
      <w:r w:rsidR="00CD1075" w:rsidRPr="00ED4340">
        <w:rPr>
          <w:rFonts w:ascii="Arial" w:hAnsi="Arial" w:cs="Arial"/>
          <w:color w:val="0070C0"/>
          <w:sz w:val="24"/>
          <w:szCs w:val="24"/>
        </w:rPr>
        <w:t>%, from the previous year</w:t>
      </w:r>
      <w:r w:rsidR="00AF5248" w:rsidRPr="00ED4340">
        <w:rPr>
          <w:rFonts w:ascii="Arial" w:hAnsi="Arial" w:cs="Arial"/>
          <w:color w:val="0070C0"/>
          <w:sz w:val="24"/>
          <w:szCs w:val="24"/>
        </w:rPr>
        <w:t xml:space="preserve"> for </w:t>
      </w:r>
      <w:r w:rsidR="008A7044" w:rsidRPr="00ED4340">
        <w:rPr>
          <w:rFonts w:ascii="Arial" w:hAnsi="Arial" w:cs="Arial"/>
          <w:color w:val="0070C0"/>
          <w:sz w:val="24"/>
          <w:szCs w:val="24"/>
        </w:rPr>
        <w:t>comparison</w:t>
      </w:r>
      <w:r w:rsidR="00AF5248" w:rsidRPr="00ED4340">
        <w:rPr>
          <w:rFonts w:ascii="Arial" w:hAnsi="Arial" w:cs="Arial"/>
          <w:color w:val="0070C0"/>
          <w:sz w:val="24"/>
          <w:szCs w:val="24"/>
        </w:rPr>
        <w:t xml:space="preserve"> of our BME workforce against the Trust’s </w:t>
      </w:r>
      <w:r w:rsidR="00CD1075" w:rsidRPr="00ED4340">
        <w:rPr>
          <w:rFonts w:ascii="Arial" w:hAnsi="Arial" w:cs="Arial"/>
          <w:color w:val="0070C0"/>
          <w:sz w:val="24"/>
          <w:szCs w:val="24"/>
        </w:rPr>
        <w:t xml:space="preserve">Board voting membership.  </w:t>
      </w:r>
      <w:r w:rsidR="009A40C1" w:rsidRPr="00ED4340">
        <w:rPr>
          <w:rFonts w:ascii="Arial" w:hAnsi="Arial" w:cs="Arial"/>
          <w:color w:val="0070C0"/>
          <w:sz w:val="24"/>
          <w:szCs w:val="24"/>
        </w:rPr>
        <w:t xml:space="preserve">The </w:t>
      </w:r>
      <w:r w:rsidR="00CD1075" w:rsidRPr="00ED4340">
        <w:rPr>
          <w:rFonts w:ascii="Arial" w:hAnsi="Arial" w:cs="Arial"/>
          <w:color w:val="0070C0"/>
          <w:sz w:val="24"/>
          <w:szCs w:val="24"/>
        </w:rPr>
        <w:t xml:space="preserve">BME percentage is </w:t>
      </w:r>
      <w:r w:rsidR="004154D7">
        <w:rPr>
          <w:rFonts w:ascii="Arial" w:hAnsi="Arial" w:cs="Arial"/>
          <w:color w:val="0070C0"/>
          <w:sz w:val="24"/>
          <w:szCs w:val="24"/>
        </w:rPr>
        <w:t xml:space="preserve">  </w:t>
      </w:r>
      <w:r w:rsidR="00CD1075" w:rsidRPr="00ED4340">
        <w:rPr>
          <w:rFonts w:ascii="Arial" w:hAnsi="Arial" w:cs="Arial"/>
          <w:color w:val="0070C0"/>
          <w:sz w:val="24"/>
          <w:szCs w:val="24"/>
        </w:rPr>
        <w:t>-2</w:t>
      </w:r>
      <w:r w:rsidR="00ED4340" w:rsidRPr="00ED4340">
        <w:rPr>
          <w:rFonts w:ascii="Arial" w:hAnsi="Arial" w:cs="Arial"/>
          <w:color w:val="0070C0"/>
          <w:sz w:val="24"/>
          <w:szCs w:val="24"/>
        </w:rPr>
        <w:t>4.4</w:t>
      </w:r>
      <w:r w:rsidR="00CD1075" w:rsidRPr="00ED4340">
        <w:rPr>
          <w:rFonts w:ascii="Arial" w:hAnsi="Arial" w:cs="Arial"/>
          <w:color w:val="0070C0"/>
          <w:sz w:val="24"/>
          <w:szCs w:val="24"/>
        </w:rPr>
        <w:t xml:space="preserve">% which shows </w:t>
      </w:r>
      <w:r w:rsidRPr="00ED4340">
        <w:rPr>
          <w:rFonts w:ascii="Arial" w:hAnsi="Arial" w:cs="Arial"/>
          <w:color w:val="0070C0"/>
          <w:sz w:val="24"/>
          <w:szCs w:val="24"/>
        </w:rPr>
        <w:t>that the Trust Board does not represent the ethnicity of the overall workforce.</w:t>
      </w:r>
    </w:p>
    <w:p w:rsidR="004154D7" w:rsidRDefault="004154D7" w:rsidP="00A20755">
      <w:pPr>
        <w:rPr>
          <w:rFonts w:ascii="Arial" w:hAnsi="Arial" w:cs="Arial"/>
          <w:color w:val="0070C0"/>
          <w:sz w:val="24"/>
          <w:szCs w:val="24"/>
        </w:rPr>
      </w:pPr>
    </w:p>
    <w:p w:rsidR="004154D7" w:rsidRPr="00ED4340" w:rsidRDefault="004154D7" w:rsidP="00A20755">
      <w:pPr>
        <w:rPr>
          <w:rFonts w:ascii="Arial" w:hAnsi="Arial" w:cs="Arial"/>
          <w:sz w:val="24"/>
          <w:szCs w:val="24"/>
        </w:rPr>
      </w:pPr>
    </w:p>
    <w:p w:rsidR="00A20755" w:rsidRPr="00ED4340" w:rsidRDefault="00A20755" w:rsidP="00A20755">
      <w:pPr>
        <w:rPr>
          <w:rFonts w:ascii="Arial" w:hAnsi="Arial" w:cs="Arial"/>
          <w:b/>
          <w:bCs/>
          <w:sz w:val="24"/>
          <w:szCs w:val="24"/>
        </w:rPr>
      </w:pPr>
      <w:r w:rsidRPr="00ED4340">
        <w:rPr>
          <w:rFonts w:ascii="Arial" w:hAnsi="Arial" w:cs="Arial"/>
          <w:b/>
          <w:bCs/>
          <w:sz w:val="24"/>
          <w:szCs w:val="24"/>
        </w:rPr>
        <w:lastRenderedPageBreak/>
        <w:t>Action taken and planned including e.g. does the indicator link to EDS2 evidence and/or</w:t>
      </w:r>
      <w:r w:rsidR="006E3809">
        <w:rPr>
          <w:rFonts w:ascii="Arial" w:hAnsi="Arial" w:cs="Arial"/>
          <w:b/>
          <w:bCs/>
          <w:sz w:val="24"/>
          <w:szCs w:val="24"/>
        </w:rPr>
        <w:t xml:space="preserve"> a corporate Equality Objective</w:t>
      </w:r>
    </w:p>
    <w:p w:rsidR="000F3986" w:rsidRDefault="0002427E" w:rsidP="001F7F0A">
      <w:pPr>
        <w:rPr>
          <w:rFonts w:ascii="Arial" w:hAnsi="Arial" w:cs="Arial"/>
          <w:bCs/>
          <w:color w:val="0070C0"/>
          <w:sz w:val="24"/>
          <w:szCs w:val="24"/>
        </w:rPr>
      </w:pPr>
      <w:r w:rsidRPr="0054575D">
        <w:rPr>
          <w:rFonts w:ascii="Arial" w:hAnsi="Arial" w:cs="Arial"/>
          <w:bCs/>
          <w:color w:val="0070C0"/>
          <w:sz w:val="24"/>
          <w:szCs w:val="24"/>
        </w:rPr>
        <w:t xml:space="preserve">The Trust will work collaboratively with the BAME Staff Network to </w:t>
      </w:r>
      <w:r w:rsidR="00BF528A" w:rsidRPr="0054575D">
        <w:rPr>
          <w:rFonts w:ascii="Arial" w:hAnsi="Arial" w:cs="Arial"/>
          <w:bCs/>
          <w:color w:val="0070C0"/>
          <w:sz w:val="24"/>
          <w:szCs w:val="24"/>
        </w:rPr>
        <w:t>explore whether there recruitment agencies with a strong track record of sourcing candidates from BAME backgrounds. One idea that has been floated is to ask the WRES Team or high profile NHS officers to advertise the vacancy amongst their BAME contacts.</w:t>
      </w:r>
      <w:r w:rsidRPr="0054575D">
        <w:rPr>
          <w:rFonts w:ascii="Arial" w:hAnsi="Arial" w:cs="Arial"/>
          <w:bCs/>
          <w:color w:val="0070C0"/>
          <w:sz w:val="24"/>
          <w:szCs w:val="24"/>
        </w:rPr>
        <w:t xml:space="preserve"> </w:t>
      </w:r>
    </w:p>
    <w:p w:rsidR="0054575D" w:rsidRPr="0054575D" w:rsidRDefault="0054575D" w:rsidP="001F7F0A">
      <w:pPr>
        <w:rPr>
          <w:rFonts w:ascii="Arial" w:hAnsi="Arial" w:cs="Arial"/>
          <w:bCs/>
          <w:color w:val="0070C0"/>
          <w:sz w:val="24"/>
          <w:szCs w:val="24"/>
        </w:rPr>
      </w:pPr>
    </w:p>
    <w:p w:rsidR="000F3986" w:rsidRPr="000F3986" w:rsidRDefault="000F3986" w:rsidP="001F7F0A">
      <w:pPr>
        <w:rPr>
          <w:rFonts w:ascii="Arial" w:hAnsi="Arial" w:cs="Arial"/>
          <w:b/>
          <w:bCs/>
          <w:sz w:val="24"/>
          <w:szCs w:val="24"/>
        </w:rPr>
      </w:pPr>
      <w:r w:rsidRPr="000F3986">
        <w:rPr>
          <w:rFonts w:ascii="Arial" w:hAnsi="Arial" w:cs="Arial"/>
          <w:b/>
          <w:bCs/>
          <w:sz w:val="24"/>
          <w:szCs w:val="24"/>
        </w:rPr>
        <w:t>Summary</w:t>
      </w:r>
    </w:p>
    <w:p w:rsidR="001F7F0A" w:rsidRPr="000F3986" w:rsidRDefault="001F7F0A" w:rsidP="001F7F0A">
      <w:pPr>
        <w:rPr>
          <w:rFonts w:ascii="Arial" w:hAnsi="Arial" w:cs="Arial"/>
          <w:b/>
          <w:bCs/>
          <w:sz w:val="24"/>
          <w:szCs w:val="24"/>
        </w:rPr>
      </w:pPr>
      <w:r w:rsidRPr="000F3986">
        <w:rPr>
          <w:rFonts w:ascii="Arial" w:hAnsi="Arial" w:cs="Arial"/>
          <w:b/>
          <w:bCs/>
          <w:sz w:val="24"/>
          <w:szCs w:val="24"/>
        </w:rPr>
        <w:t xml:space="preserve">26. Are there any other factors or data which should be taken into consideration in assessing progress? </w:t>
      </w:r>
    </w:p>
    <w:p w:rsidR="00BF528A" w:rsidRPr="0054575D" w:rsidRDefault="00BF528A" w:rsidP="001F7F0A">
      <w:pPr>
        <w:rPr>
          <w:rFonts w:ascii="Arial" w:hAnsi="Arial" w:cs="Arial"/>
          <w:color w:val="0070C0"/>
          <w:sz w:val="24"/>
          <w:szCs w:val="24"/>
        </w:rPr>
      </w:pPr>
      <w:r w:rsidRPr="0054575D">
        <w:rPr>
          <w:rFonts w:ascii="Arial" w:hAnsi="Arial" w:cs="Arial"/>
          <w:color w:val="0070C0"/>
          <w:sz w:val="24"/>
          <w:szCs w:val="24"/>
        </w:rPr>
        <w:t xml:space="preserve">The Trust acknowledges the importance of working in partnership with the BAME staff group. A new approach will be for the WRES data to be taken to the </w:t>
      </w:r>
      <w:r w:rsidR="00F256D4" w:rsidRPr="0054575D">
        <w:rPr>
          <w:rFonts w:ascii="Arial" w:hAnsi="Arial" w:cs="Arial"/>
          <w:color w:val="0070C0"/>
          <w:sz w:val="24"/>
          <w:szCs w:val="24"/>
        </w:rPr>
        <w:t xml:space="preserve">relevant </w:t>
      </w:r>
      <w:r w:rsidRPr="0054575D">
        <w:rPr>
          <w:rFonts w:ascii="Arial" w:hAnsi="Arial" w:cs="Arial"/>
          <w:color w:val="0070C0"/>
          <w:sz w:val="24"/>
          <w:szCs w:val="24"/>
        </w:rPr>
        <w:t>Divisional and Directorate meetings.</w:t>
      </w:r>
      <w:r w:rsidR="00F256D4" w:rsidRPr="0054575D">
        <w:rPr>
          <w:rFonts w:ascii="Arial" w:hAnsi="Arial" w:cs="Arial"/>
          <w:color w:val="0070C0"/>
          <w:sz w:val="24"/>
          <w:szCs w:val="24"/>
        </w:rPr>
        <w:t xml:space="preserve"> The intended outcome is for managers to become more aware of their own WRES data and the need for the co-production of mini action plans regarding their area of influence. Managers will be supported to have conversations with their BAME staff as this will help to ensure that issues are addressed at the earliest opportunity. </w:t>
      </w:r>
    </w:p>
    <w:p w:rsidR="001F7F0A" w:rsidRPr="000F3986" w:rsidRDefault="001F7F0A" w:rsidP="001F7F0A">
      <w:pPr>
        <w:rPr>
          <w:rFonts w:ascii="Arial" w:hAnsi="Arial" w:cs="Arial"/>
          <w:sz w:val="24"/>
          <w:szCs w:val="24"/>
        </w:rPr>
      </w:pPr>
      <w:r w:rsidRPr="000F3986">
        <w:rPr>
          <w:rFonts w:ascii="Arial" w:hAnsi="Arial" w:cs="Arial"/>
          <w:b/>
          <w:bCs/>
          <w:sz w:val="24"/>
          <w:szCs w:val="24"/>
        </w:rPr>
        <w:t xml:space="preserve">27. Organisations should produce a detailed WRES action plan, agreed by its board. It is good practice for this action plan to be published on the organisation’s website, alongside their WRES data. Such a plan would elaborate on the actions summarised in this report, setting out the next steps with milestones for expected progress against the WRES indicators. It may also identify the links with other workstreams agreed at board level, such as EDS2. You are asked to provide a link to your WRES </w:t>
      </w:r>
      <w:r w:rsidR="006E3809">
        <w:rPr>
          <w:rFonts w:ascii="Arial" w:hAnsi="Arial" w:cs="Arial"/>
          <w:b/>
          <w:bCs/>
          <w:sz w:val="24"/>
          <w:szCs w:val="24"/>
        </w:rPr>
        <w:t>action plan in the space below</w:t>
      </w:r>
    </w:p>
    <w:p w:rsidR="004004D8" w:rsidRDefault="004004D8" w:rsidP="00B206F4">
      <w:pPr>
        <w:rPr>
          <w:rFonts w:ascii="Arial" w:hAnsi="Arial" w:cs="Arial"/>
          <w:color w:val="0070C0"/>
          <w:sz w:val="24"/>
          <w:szCs w:val="24"/>
        </w:rPr>
      </w:pPr>
      <w:r>
        <w:rPr>
          <w:rFonts w:ascii="Arial" w:hAnsi="Arial" w:cs="Arial"/>
          <w:color w:val="0070C0"/>
          <w:sz w:val="24"/>
          <w:szCs w:val="24"/>
        </w:rPr>
        <w:t>The Trust has now formally as of 1</w:t>
      </w:r>
      <w:r w:rsidRPr="004004D8">
        <w:rPr>
          <w:rFonts w:ascii="Arial" w:hAnsi="Arial" w:cs="Arial"/>
          <w:color w:val="0070C0"/>
          <w:sz w:val="24"/>
          <w:szCs w:val="24"/>
          <w:vertAlign w:val="superscript"/>
        </w:rPr>
        <w:t>st</w:t>
      </w:r>
      <w:r>
        <w:rPr>
          <w:rFonts w:ascii="Arial" w:hAnsi="Arial" w:cs="Arial"/>
          <w:color w:val="0070C0"/>
          <w:sz w:val="24"/>
          <w:szCs w:val="24"/>
        </w:rPr>
        <w:t xml:space="preserve"> July 2020 entered into a Group model with Kettering General Hospital. Discussions are continuing on having a combined Equality, Diversity and Inclusion strategy that is aligned to the EDS 2 Goals (objectives) and the </w:t>
      </w:r>
      <w:r w:rsidR="0005317C">
        <w:rPr>
          <w:rFonts w:ascii="Arial" w:hAnsi="Arial" w:cs="Arial"/>
          <w:color w:val="0070C0"/>
          <w:sz w:val="24"/>
          <w:szCs w:val="24"/>
        </w:rPr>
        <w:t>“</w:t>
      </w:r>
      <w:r>
        <w:rPr>
          <w:rFonts w:ascii="Arial" w:hAnsi="Arial" w:cs="Arial"/>
          <w:color w:val="0070C0"/>
          <w:sz w:val="24"/>
          <w:szCs w:val="24"/>
        </w:rPr>
        <w:t xml:space="preserve">We are the NHS: People Plan </w:t>
      </w:r>
      <w:r w:rsidR="0005317C">
        <w:rPr>
          <w:rFonts w:ascii="Arial" w:hAnsi="Arial" w:cs="Arial"/>
          <w:color w:val="0070C0"/>
          <w:sz w:val="24"/>
          <w:szCs w:val="24"/>
        </w:rPr>
        <w:t>2020/2021”.</w:t>
      </w:r>
      <w:r>
        <w:rPr>
          <w:rFonts w:ascii="Arial" w:hAnsi="Arial" w:cs="Arial"/>
          <w:color w:val="0070C0"/>
          <w:sz w:val="24"/>
          <w:szCs w:val="24"/>
        </w:rPr>
        <w:t xml:space="preserve"> </w:t>
      </w:r>
    </w:p>
    <w:p w:rsidR="004154D7" w:rsidRPr="003251A9" w:rsidRDefault="004154D7" w:rsidP="004154D7">
      <w:pPr>
        <w:rPr>
          <w:rFonts w:ascii="Arial" w:hAnsi="Arial" w:cs="Arial"/>
          <w:sz w:val="24"/>
          <w:szCs w:val="24"/>
        </w:rPr>
      </w:pPr>
      <w:r>
        <w:rPr>
          <w:rFonts w:ascii="Arial" w:hAnsi="Arial" w:cs="Arial"/>
          <w:color w:val="0070C0"/>
          <w:sz w:val="24"/>
          <w:szCs w:val="24"/>
        </w:rPr>
        <w:t xml:space="preserve">All key information regarding Equality, Diversity and Inclusion can be found on the Trust’s website - </w:t>
      </w:r>
      <w:hyperlink r:id="rId11" w:history="1">
        <w:r w:rsidRPr="003251A9">
          <w:rPr>
            <w:rStyle w:val="Hyperlink"/>
            <w:rFonts w:ascii="Arial" w:hAnsi="Arial" w:cs="Arial"/>
            <w:sz w:val="24"/>
            <w:szCs w:val="24"/>
          </w:rPr>
          <w:t>https://www.northamptongeneral.nhs.uk/About/Equality-and-diversity-information/Equality-Diversity-Inclusion.aspx</w:t>
        </w:r>
      </w:hyperlink>
      <w:r>
        <w:rPr>
          <w:rStyle w:val="Hyperlink"/>
          <w:rFonts w:ascii="Arial" w:hAnsi="Arial" w:cs="Arial"/>
          <w:sz w:val="24"/>
          <w:szCs w:val="24"/>
        </w:rPr>
        <w:t>.</w:t>
      </w:r>
    </w:p>
    <w:p w:rsidR="004154D7" w:rsidRDefault="004154D7" w:rsidP="00B206F4">
      <w:pPr>
        <w:rPr>
          <w:rFonts w:ascii="Arial" w:hAnsi="Arial" w:cs="Arial"/>
          <w:color w:val="0070C0"/>
          <w:sz w:val="24"/>
          <w:szCs w:val="24"/>
        </w:rPr>
      </w:pPr>
    </w:p>
    <w:p w:rsidR="004154D7" w:rsidRDefault="004154D7" w:rsidP="00B206F4">
      <w:pPr>
        <w:rPr>
          <w:rFonts w:ascii="Arial" w:hAnsi="Arial" w:cs="Arial"/>
          <w:color w:val="0070C0"/>
          <w:sz w:val="24"/>
          <w:szCs w:val="24"/>
        </w:rPr>
      </w:pPr>
    </w:p>
    <w:p w:rsidR="0005317C" w:rsidRPr="003251A9" w:rsidRDefault="0005317C" w:rsidP="00B206F4">
      <w:pPr>
        <w:rPr>
          <w:rFonts w:ascii="Arial" w:hAnsi="Arial" w:cs="Arial"/>
          <w:color w:val="0070C0"/>
          <w:sz w:val="24"/>
          <w:szCs w:val="24"/>
        </w:rPr>
      </w:pPr>
    </w:p>
    <w:sectPr w:rsidR="0005317C" w:rsidRPr="003251A9" w:rsidSect="00092761">
      <w:headerReference w:type="default" r:id="rId12"/>
      <w:footerReference w:type="default" r:id="rId13"/>
      <w:pgSz w:w="11907" w:h="16839" w:code="9"/>
      <w:pgMar w:top="1875" w:right="1224" w:bottom="1433" w:left="126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450" w:rsidRDefault="00171450" w:rsidP="006C6C82">
      <w:pPr>
        <w:spacing w:after="0" w:line="240" w:lineRule="auto"/>
      </w:pPr>
      <w:r>
        <w:separator/>
      </w:r>
    </w:p>
  </w:endnote>
  <w:endnote w:type="continuationSeparator" w:id="0">
    <w:p w:rsidR="00171450" w:rsidRDefault="00171450" w:rsidP="006C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Arial"/>
        <w:color w:val="808080" w:themeColor="background1" w:themeShade="80"/>
      </w:rPr>
      <w:id w:val="1569149997"/>
      <w:docPartObj>
        <w:docPartGallery w:val="Page Numbers (Bottom of Page)"/>
        <w:docPartUnique/>
      </w:docPartObj>
    </w:sdtPr>
    <w:sdtEndPr/>
    <w:sdtContent>
      <w:sdt>
        <w:sdtPr>
          <w:rPr>
            <w:rFonts w:ascii="Calibri" w:hAnsi="Calibri" w:cs="Arial"/>
            <w:color w:val="808080" w:themeColor="background1" w:themeShade="80"/>
          </w:rPr>
          <w:id w:val="-1669238322"/>
          <w:docPartObj>
            <w:docPartGallery w:val="Page Numbers (Top of Page)"/>
            <w:docPartUnique/>
          </w:docPartObj>
        </w:sdtPr>
        <w:sdtEndPr/>
        <w:sdtContent>
          <w:p w:rsidR="00171450" w:rsidRPr="0011675F" w:rsidRDefault="00171450">
            <w:pPr>
              <w:pStyle w:val="Footer"/>
              <w:jc w:val="center"/>
              <w:rPr>
                <w:rFonts w:ascii="Calibri" w:hAnsi="Calibri" w:cs="Arial"/>
                <w:color w:val="808080" w:themeColor="background1" w:themeShade="80"/>
              </w:rPr>
            </w:pPr>
            <w:r w:rsidRPr="0011675F">
              <w:rPr>
                <w:rFonts w:ascii="Calibri" w:hAnsi="Calibri" w:cs="Arial"/>
                <w:color w:val="808080" w:themeColor="background1" w:themeShade="80"/>
              </w:rPr>
              <w:t xml:space="preserve">Page </w:t>
            </w:r>
            <w:r w:rsidRPr="0011675F">
              <w:rPr>
                <w:rFonts w:ascii="Calibri" w:hAnsi="Calibri" w:cs="Arial"/>
                <w:bCs/>
                <w:color w:val="808080" w:themeColor="background1" w:themeShade="80"/>
              </w:rPr>
              <w:fldChar w:fldCharType="begin"/>
            </w:r>
            <w:r w:rsidRPr="0011675F">
              <w:rPr>
                <w:rFonts w:ascii="Calibri" w:hAnsi="Calibri" w:cs="Arial"/>
                <w:bCs/>
                <w:color w:val="808080" w:themeColor="background1" w:themeShade="80"/>
              </w:rPr>
              <w:instrText xml:space="preserve"> PAGE </w:instrText>
            </w:r>
            <w:r w:rsidRPr="0011675F">
              <w:rPr>
                <w:rFonts w:ascii="Calibri" w:hAnsi="Calibri" w:cs="Arial"/>
                <w:bCs/>
                <w:color w:val="808080" w:themeColor="background1" w:themeShade="80"/>
              </w:rPr>
              <w:fldChar w:fldCharType="separate"/>
            </w:r>
            <w:r w:rsidR="000D1AA5">
              <w:rPr>
                <w:rFonts w:ascii="Calibri" w:hAnsi="Calibri" w:cs="Arial"/>
                <w:bCs/>
                <w:noProof/>
                <w:color w:val="808080" w:themeColor="background1" w:themeShade="80"/>
              </w:rPr>
              <w:t>12</w:t>
            </w:r>
            <w:r w:rsidRPr="0011675F">
              <w:rPr>
                <w:rFonts w:ascii="Calibri" w:hAnsi="Calibri" w:cs="Arial"/>
                <w:bCs/>
                <w:color w:val="808080" w:themeColor="background1" w:themeShade="80"/>
              </w:rPr>
              <w:fldChar w:fldCharType="end"/>
            </w:r>
            <w:r w:rsidRPr="0011675F">
              <w:rPr>
                <w:rFonts w:ascii="Calibri" w:hAnsi="Calibri" w:cs="Arial"/>
                <w:color w:val="808080" w:themeColor="background1" w:themeShade="80"/>
              </w:rPr>
              <w:t xml:space="preserve"> of </w:t>
            </w:r>
            <w:r w:rsidRPr="0011675F">
              <w:rPr>
                <w:rFonts w:ascii="Calibri" w:hAnsi="Calibri" w:cs="Arial"/>
                <w:bCs/>
                <w:color w:val="808080" w:themeColor="background1" w:themeShade="80"/>
              </w:rPr>
              <w:fldChar w:fldCharType="begin"/>
            </w:r>
            <w:r w:rsidRPr="0011675F">
              <w:rPr>
                <w:rFonts w:ascii="Calibri" w:hAnsi="Calibri" w:cs="Arial"/>
                <w:bCs/>
                <w:color w:val="808080" w:themeColor="background1" w:themeShade="80"/>
              </w:rPr>
              <w:instrText xml:space="preserve"> NUMPAGES  </w:instrText>
            </w:r>
            <w:r w:rsidRPr="0011675F">
              <w:rPr>
                <w:rFonts w:ascii="Calibri" w:hAnsi="Calibri" w:cs="Arial"/>
                <w:bCs/>
                <w:color w:val="808080" w:themeColor="background1" w:themeShade="80"/>
              </w:rPr>
              <w:fldChar w:fldCharType="separate"/>
            </w:r>
            <w:r w:rsidR="000D1AA5">
              <w:rPr>
                <w:rFonts w:ascii="Calibri" w:hAnsi="Calibri" w:cs="Arial"/>
                <w:bCs/>
                <w:noProof/>
                <w:color w:val="808080" w:themeColor="background1" w:themeShade="80"/>
              </w:rPr>
              <w:t>12</w:t>
            </w:r>
            <w:r w:rsidRPr="0011675F">
              <w:rPr>
                <w:rFonts w:ascii="Calibri" w:hAnsi="Calibri" w:cs="Arial"/>
                <w:bCs/>
                <w:color w:val="808080" w:themeColor="background1" w:themeShade="80"/>
              </w:rPr>
              <w:fldChar w:fldCharType="end"/>
            </w:r>
          </w:p>
        </w:sdtContent>
      </w:sdt>
    </w:sdtContent>
  </w:sdt>
  <w:p w:rsidR="00171450" w:rsidRDefault="001714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450" w:rsidRDefault="00171450" w:rsidP="006C6C82">
      <w:pPr>
        <w:spacing w:after="0" w:line="240" w:lineRule="auto"/>
      </w:pPr>
      <w:r>
        <w:separator/>
      </w:r>
    </w:p>
  </w:footnote>
  <w:footnote w:type="continuationSeparator" w:id="0">
    <w:p w:rsidR="00171450" w:rsidRDefault="00171450" w:rsidP="006C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450" w:rsidRDefault="00171450" w:rsidP="006C6C82">
    <w:pPr>
      <w:pStyle w:val="Header"/>
      <w:jc w:val="right"/>
    </w:pPr>
    <w:r>
      <w:rPr>
        <w:noProof/>
        <w:lang w:eastAsia="en-GB"/>
      </w:rPr>
      <w:drawing>
        <wp:inline distT="0" distB="0" distL="0" distR="0" wp14:anchorId="4C04A416" wp14:editId="6917BED9">
          <wp:extent cx="1684695" cy="617934"/>
          <wp:effectExtent l="0" t="0" r="0" b="0"/>
          <wp:docPr id="2" name="Picture 2" descr="\\Intranet.ngh.nhs.uk\Users\UserData\Userdata-E-K\Kinsellas\Desktop\Leice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ngh.nhs.uk\Users\UserData\Userdata-E-K\Kinsellas\Desktop\Leicest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827" cy="617616"/>
                  </a:xfrm>
                  <a:prstGeom prst="rect">
                    <a:avLst/>
                  </a:prstGeom>
                  <a:noFill/>
                  <a:ln>
                    <a:noFill/>
                  </a:ln>
                </pic:spPr>
              </pic:pic>
            </a:graphicData>
          </a:graphic>
        </wp:inline>
      </w:drawing>
    </w:r>
    <w:r>
      <w:t xml:space="preserve">                                                          </w:t>
    </w:r>
    <w:r>
      <w:rPr>
        <w:noProof/>
        <w:lang w:eastAsia="en-GB"/>
      </w:rPr>
      <w:drawing>
        <wp:inline distT="0" distB="0" distL="0" distR="0" wp14:anchorId="09006CCA" wp14:editId="705A4258">
          <wp:extent cx="2440305" cy="618490"/>
          <wp:effectExtent l="0" t="0" r="0" b="0"/>
          <wp:docPr id="1" name="Picture 1" descr="\\Intranet.ngh.nhs.uk\Users\UserData\Userdata-E-K\Kinsellas\Desktop\New-NG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ngh.nhs.uk\Users\UserData\Userdata-E-K\Kinsellas\Desktop\New-NGH-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0305" cy="618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4DB7"/>
    <w:multiLevelType w:val="hybridMultilevel"/>
    <w:tmpl w:val="40AA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A24F0"/>
    <w:multiLevelType w:val="hybridMultilevel"/>
    <w:tmpl w:val="5DFE5640"/>
    <w:lvl w:ilvl="0" w:tplc="BF20C14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896789"/>
    <w:multiLevelType w:val="hybridMultilevel"/>
    <w:tmpl w:val="965CB1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0A"/>
    <w:rsid w:val="000211D5"/>
    <w:rsid w:val="0002427E"/>
    <w:rsid w:val="00032D98"/>
    <w:rsid w:val="00042182"/>
    <w:rsid w:val="0005317C"/>
    <w:rsid w:val="00065D71"/>
    <w:rsid w:val="00092761"/>
    <w:rsid w:val="00097171"/>
    <w:rsid w:val="000B0F10"/>
    <w:rsid w:val="000B18EC"/>
    <w:rsid w:val="000B32B4"/>
    <w:rsid w:val="000C2409"/>
    <w:rsid w:val="000D1AA5"/>
    <w:rsid w:val="000E354B"/>
    <w:rsid w:val="000E35F2"/>
    <w:rsid w:val="000F2D06"/>
    <w:rsid w:val="000F3986"/>
    <w:rsid w:val="0011675F"/>
    <w:rsid w:val="00141CED"/>
    <w:rsid w:val="001453EA"/>
    <w:rsid w:val="0015287C"/>
    <w:rsid w:val="001532FC"/>
    <w:rsid w:val="001534FE"/>
    <w:rsid w:val="00154D86"/>
    <w:rsid w:val="00171450"/>
    <w:rsid w:val="00172F55"/>
    <w:rsid w:val="00175C95"/>
    <w:rsid w:val="00186669"/>
    <w:rsid w:val="00193699"/>
    <w:rsid w:val="0019797A"/>
    <w:rsid w:val="001B4568"/>
    <w:rsid w:val="001F189B"/>
    <w:rsid w:val="001F1AE1"/>
    <w:rsid w:val="001F7F0A"/>
    <w:rsid w:val="002004B2"/>
    <w:rsid w:val="00217058"/>
    <w:rsid w:val="0022341C"/>
    <w:rsid w:val="00254134"/>
    <w:rsid w:val="002677BE"/>
    <w:rsid w:val="00285C1A"/>
    <w:rsid w:val="00291404"/>
    <w:rsid w:val="00292DE7"/>
    <w:rsid w:val="00304A31"/>
    <w:rsid w:val="003117B7"/>
    <w:rsid w:val="003251A9"/>
    <w:rsid w:val="00340831"/>
    <w:rsid w:val="00353EB8"/>
    <w:rsid w:val="00380A5C"/>
    <w:rsid w:val="003A542F"/>
    <w:rsid w:val="003B1FD4"/>
    <w:rsid w:val="003B3C02"/>
    <w:rsid w:val="003C62A2"/>
    <w:rsid w:val="003D3716"/>
    <w:rsid w:val="003E7313"/>
    <w:rsid w:val="003F66F2"/>
    <w:rsid w:val="004004D8"/>
    <w:rsid w:val="0040404E"/>
    <w:rsid w:val="00406828"/>
    <w:rsid w:val="00414581"/>
    <w:rsid w:val="004154D7"/>
    <w:rsid w:val="00427916"/>
    <w:rsid w:val="00441171"/>
    <w:rsid w:val="004660E9"/>
    <w:rsid w:val="0048700A"/>
    <w:rsid w:val="00490E78"/>
    <w:rsid w:val="004A4C0A"/>
    <w:rsid w:val="004C4814"/>
    <w:rsid w:val="004D7417"/>
    <w:rsid w:val="004E1220"/>
    <w:rsid w:val="005148D7"/>
    <w:rsid w:val="005239E9"/>
    <w:rsid w:val="0054575D"/>
    <w:rsid w:val="00551A24"/>
    <w:rsid w:val="00571BCE"/>
    <w:rsid w:val="00590CF7"/>
    <w:rsid w:val="005A10FC"/>
    <w:rsid w:val="005A5750"/>
    <w:rsid w:val="005A5F94"/>
    <w:rsid w:val="005B4E07"/>
    <w:rsid w:val="005C579A"/>
    <w:rsid w:val="005E41C2"/>
    <w:rsid w:val="0063547D"/>
    <w:rsid w:val="00641024"/>
    <w:rsid w:val="006652CB"/>
    <w:rsid w:val="006743C9"/>
    <w:rsid w:val="0067551F"/>
    <w:rsid w:val="00680026"/>
    <w:rsid w:val="00694E0D"/>
    <w:rsid w:val="006A728D"/>
    <w:rsid w:val="006C1850"/>
    <w:rsid w:val="006C484E"/>
    <w:rsid w:val="006C6C82"/>
    <w:rsid w:val="006D534F"/>
    <w:rsid w:val="006E3809"/>
    <w:rsid w:val="006E4742"/>
    <w:rsid w:val="006F62C2"/>
    <w:rsid w:val="00717B31"/>
    <w:rsid w:val="00747969"/>
    <w:rsid w:val="007649FB"/>
    <w:rsid w:val="007865C0"/>
    <w:rsid w:val="0078733E"/>
    <w:rsid w:val="007B6C24"/>
    <w:rsid w:val="00841F0C"/>
    <w:rsid w:val="00847F51"/>
    <w:rsid w:val="00855C4D"/>
    <w:rsid w:val="0088321C"/>
    <w:rsid w:val="008839A2"/>
    <w:rsid w:val="008A7044"/>
    <w:rsid w:val="008D78E7"/>
    <w:rsid w:val="00920BA8"/>
    <w:rsid w:val="009222B0"/>
    <w:rsid w:val="009246EA"/>
    <w:rsid w:val="00930A6C"/>
    <w:rsid w:val="00936A34"/>
    <w:rsid w:val="00937959"/>
    <w:rsid w:val="00947609"/>
    <w:rsid w:val="00960254"/>
    <w:rsid w:val="00973035"/>
    <w:rsid w:val="009A40C1"/>
    <w:rsid w:val="009D5EDB"/>
    <w:rsid w:val="009E4654"/>
    <w:rsid w:val="00A02043"/>
    <w:rsid w:val="00A02E5C"/>
    <w:rsid w:val="00A10E77"/>
    <w:rsid w:val="00A20755"/>
    <w:rsid w:val="00A42953"/>
    <w:rsid w:val="00A46E57"/>
    <w:rsid w:val="00A70756"/>
    <w:rsid w:val="00AD4003"/>
    <w:rsid w:val="00AF407E"/>
    <w:rsid w:val="00AF4A38"/>
    <w:rsid w:val="00AF5248"/>
    <w:rsid w:val="00B01A3F"/>
    <w:rsid w:val="00B206F4"/>
    <w:rsid w:val="00B215B8"/>
    <w:rsid w:val="00B5067C"/>
    <w:rsid w:val="00B557C7"/>
    <w:rsid w:val="00B64BD3"/>
    <w:rsid w:val="00B75E74"/>
    <w:rsid w:val="00B8147F"/>
    <w:rsid w:val="00B84226"/>
    <w:rsid w:val="00BA3C54"/>
    <w:rsid w:val="00BC2058"/>
    <w:rsid w:val="00BC4AA1"/>
    <w:rsid w:val="00BD45DB"/>
    <w:rsid w:val="00BE067B"/>
    <w:rsid w:val="00BF528A"/>
    <w:rsid w:val="00BF75DE"/>
    <w:rsid w:val="00C07D19"/>
    <w:rsid w:val="00C1139D"/>
    <w:rsid w:val="00C3103A"/>
    <w:rsid w:val="00C80F85"/>
    <w:rsid w:val="00C909A4"/>
    <w:rsid w:val="00CA4C1A"/>
    <w:rsid w:val="00CC302F"/>
    <w:rsid w:val="00CD1075"/>
    <w:rsid w:val="00CE0791"/>
    <w:rsid w:val="00D23003"/>
    <w:rsid w:val="00D36CC2"/>
    <w:rsid w:val="00D523CF"/>
    <w:rsid w:val="00D5415E"/>
    <w:rsid w:val="00D77A13"/>
    <w:rsid w:val="00D8101D"/>
    <w:rsid w:val="00D91139"/>
    <w:rsid w:val="00DB7B77"/>
    <w:rsid w:val="00DD1B67"/>
    <w:rsid w:val="00DE2573"/>
    <w:rsid w:val="00DE41C7"/>
    <w:rsid w:val="00DF1AB9"/>
    <w:rsid w:val="00E012E9"/>
    <w:rsid w:val="00E0145D"/>
    <w:rsid w:val="00E178B1"/>
    <w:rsid w:val="00E259A3"/>
    <w:rsid w:val="00E30031"/>
    <w:rsid w:val="00E333BF"/>
    <w:rsid w:val="00E434D9"/>
    <w:rsid w:val="00E50A65"/>
    <w:rsid w:val="00E50E76"/>
    <w:rsid w:val="00E52843"/>
    <w:rsid w:val="00E6001B"/>
    <w:rsid w:val="00E86BBE"/>
    <w:rsid w:val="00E9481B"/>
    <w:rsid w:val="00E950E6"/>
    <w:rsid w:val="00E95615"/>
    <w:rsid w:val="00EA487B"/>
    <w:rsid w:val="00EA796E"/>
    <w:rsid w:val="00EB6927"/>
    <w:rsid w:val="00EC4555"/>
    <w:rsid w:val="00ED27BC"/>
    <w:rsid w:val="00ED4340"/>
    <w:rsid w:val="00F256D4"/>
    <w:rsid w:val="00F330F8"/>
    <w:rsid w:val="00F5020C"/>
    <w:rsid w:val="00F573AB"/>
    <w:rsid w:val="00FB1095"/>
    <w:rsid w:val="00FC3C1B"/>
    <w:rsid w:val="00FD022A"/>
    <w:rsid w:val="00FD7665"/>
    <w:rsid w:val="00FE396C"/>
    <w:rsid w:val="00FE5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64D"/>
  <w15:docId w15:val="{A18DFC4C-9D30-48D2-956E-9AA2B545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2E9"/>
    <w:pPr>
      <w:ind w:left="720"/>
      <w:contextualSpacing/>
    </w:pPr>
  </w:style>
  <w:style w:type="character" w:styleId="Hyperlink">
    <w:name w:val="Hyperlink"/>
    <w:basedOn w:val="DefaultParagraphFont"/>
    <w:uiPriority w:val="99"/>
    <w:unhideWhenUsed/>
    <w:rsid w:val="00E012E9"/>
    <w:rPr>
      <w:color w:val="0000FF" w:themeColor="hyperlink"/>
      <w:u w:val="single"/>
    </w:rPr>
  </w:style>
  <w:style w:type="table" w:styleId="TableGrid">
    <w:name w:val="Table Grid"/>
    <w:basedOn w:val="TableNormal"/>
    <w:uiPriority w:val="59"/>
    <w:rsid w:val="0003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0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54"/>
    <w:rPr>
      <w:rFonts w:ascii="Tahoma" w:hAnsi="Tahoma" w:cs="Tahoma"/>
      <w:sz w:val="16"/>
      <w:szCs w:val="16"/>
    </w:rPr>
  </w:style>
  <w:style w:type="paragraph" w:styleId="Header">
    <w:name w:val="header"/>
    <w:basedOn w:val="Normal"/>
    <w:link w:val="HeaderChar"/>
    <w:uiPriority w:val="99"/>
    <w:unhideWhenUsed/>
    <w:rsid w:val="006C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C82"/>
  </w:style>
  <w:style w:type="paragraph" w:styleId="Footer">
    <w:name w:val="footer"/>
    <w:basedOn w:val="Normal"/>
    <w:link w:val="FooterChar"/>
    <w:uiPriority w:val="99"/>
    <w:unhideWhenUsed/>
    <w:rsid w:val="006C6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C82"/>
  </w:style>
  <w:style w:type="character" w:styleId="CommentReference">
    <w:name w:val="annotation reference"/>
    <w:basedOn w:val="DefaultParagraphFont"/>
    <w:uiPriority w:val="99"/>
    <w:semiHidden/>
    <w:unhideWhenUsed/>
    <w:rsid w:val="00380A5C"/>
    <w:rPr>
      <w:sz w:val="16"/>
      <w:szCs w:val="16"/>
    </w:rPr>
  </w:style>
  <w:style w:type="paragraph" w:styleId="CommentText">
    <w:name w:val="annotation text"/>
    <w:basedOn w:val="Normal"/>
    <w:link w:val="CommentTextChar"/>
    <w:uiPriority w:val="99"/>
    <w:semiHidden/>
    <w:unhideWhenUsed/>
    <w:rsid w:val="00380A5C"/>
    <w:pPr>
      <w:spacing w:line="240" w:lineRule="auto"/>
    </w:pPr>
    <w:rPr>
      <w:sz w:val="20"/>
      <w:szCs w:val="20"/>
    </w:rPr>
  </w:style>
  <w:style w:type="character" w:customStyle="1" w:styleId="CommentTextChar">
    <w:name w:val="Comment Text Char"/>
    <w:basedOn w:val="DefaultParagraphFont"/>
    <w:link w:val="CommentText"/>
    <w:uiPriority w:val="99"/>
    <w:semiHidden/>
    <w:rsid w:val="00380A5C"/>
    <w:rPr>
      <w:sz w:val="20"/>
      <w:szCs w:val="20"/>
    </w:rPr>
  </w:style>
  <w:style w:type="paragraph" w:styleId="CommentSubject">
    <w:name w:val="annotation subject"/>
    <w:basedOn w:val="CommentText"/>
    <w:next w:val="CommentText"/>
    <w:link w:val="CommentSubjectChar"/>
    <w:uiPriority w:val="99"/>
    <w:semiHidden/>
    <w:unhideWhenUsed/>
    <w:rsid w:val="00380A5C"/>
    <w:rPr>
      <w:b/>
      <w:bCs/>
    </w:rPr>
  </w:style>
  <w:style w:type="character" w:customStyle="1" w:styleId="CommentSubjectChar">
    <w:name w:val="Comment Subject Char"/>
    <w:basedOn w:val="CommentTextChar"/>
    <w:link w:val="CommentSubject"/>
    <w:uiPriority w:val="99"/>
    <w:semiHidden/>
    <w:rsid w:val="00380A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2351">
      <w:bodyDiv w:val="1"/>
      <w:marLeft w:val="0"/>
      <w:marRight w:val="0"/>
      <w:marTop w:val="0"/>
      <w:marBottom w:val="0"/>
      <w:divBdr>
        <w:top w:val="none" w:sz="0" w:space="0" w:color="auto"/>
        <w:left w:val="none" w:sz="0" w:space="0" w:color="auto"/>
        <w:bottom w:val="none" w:sz="0" w:space="0" w:color="auto"/>
        <w:right w:val="none" w:sz="0" w:space="0" w:color="auto"/>
      </w:divBdr>
    </w:div>
    <w:div w:id="60762613">
      <w:bodyDiv w:val="1"/>
      <w:marLeft w:val="0"/>
      <w:marRight w:val="0"/>
      <w:marTop w:val="0"/>
      <w:marBottom w:val="0"/>
      <w:divBdr>
        <w:top w:val="none" w:sz="0" w:space="0" w:color="auto"/>
        <w:left w:val="none" w:sz="0" w:space="0" w:color="auto"/>
        <w:bottom w:val="none" w:sz="0" w:space="0" w:color="auto"/>
        <w:right w:val="none" w:sz="0" w:space="0" w:color="auto"/>
      </w:divBdr>
    </w:div>
    <w:div w:id="524562057">
      <w:bodyDiv w:val="1"/>
      <w:marLeft w:val="0"/>
      <w:marRight w:val="0"/>
      <w:marTop w:val="0"/>
      <w:marBottom w:val="0"/>
      <w:divBdr>
        <w:top w:val="none" w:sz="0" w:space="0" w:color="auto"/>
        <w:left w:val="none" w:sz="0" w:space="0" w:color="auto"/>
        <w:bottom w:val="none" w:sz="0" w:space="0" w:color="auto"/>
        <w:right w:val="none" w:sz="0" w:space="0" w:color="auto"/>
      </w:divBdr>
    </w:div>
    <w:div w:id="685638929">
      <w:bodyDiv w:val="1"/>
      <w:marLeft w:val="0"/>
      <w:marRight w:val="0"/>
      <w:marTop w:val="0"/>
      <w:marBottom w:val="0"/>
      <w:divBdr>
        <w:top w:val="none" w:sz="0" w:space="0" w:color="auto"/>
        <w:left w:val="none" w:sz="0" w:space="0" w:color="auto"/>
        <w:bottom w:val="none" w:sz="0" w:space="0" w:color="auto"/>
        <w:right w:val="none" w:sz="0" w:space="0" w:color="auto"/>
      </w:divBdr>
    </w:div>
    <w:div w:id="881213945">
      <w:bodyDiv w:val="1"/>
      <w:marLeft w:val="0"/>
      <w:marRight w:val="0"/>
      <w:marTop w:val="0"/>
      <w:marBottom w:val="0"/>
      <w:divBdr>
        <w:top w:val="none" w:sz="0" w:space="0" w:color="auto"/>
        <w:left w:val="none" w:sz="0" w:space="0" w:color="auto"/>
        <w:bottom w:val="none" w:sz="0" w:space="0" w:color="auto"/>
        <w:right w:val="none" w:sz="0" w:space="0" w:color="auto"/>
      </w:divBdr>
    </w:div>
    <w:div w:id="1225875194">
      <w:bodyDiv w:val="1"/>
      <w:marLeft w:val="0"/>
      <w:marRight w:val="0"/>
      <w:marTop w:val="0"/>
      <w:marBottom w:val="0"/>
      <w:divBdr>
        <w:top w:val="none" w:sz="0" w:space="0" w:color="auto"/>
        <w:left w:val="none" w:sz="0" w:space="0" w:color="auto"/>
        <w:bottom w:val="none" w:sz="0" w:space="0" w:color="auto"/>
        <w:right w:val="none" w:sz="0" w:space="0" w:color="auto"/>
      </w:divBdr>
    </w:div>
    <w:div w:id="1690252935">
      <w:bodyDiv w:val="1"/>
      <w:marLeft w:val="0"/>
      <w:marRight w:val="0"/>
      <w:marTop w:val="0"/>
      <w:marBottom w:val="0"/>
      <w:divBdr>
        <w:top w:val="none" w:sz="0" w:space="0" w:color="auto"/>
        <w:left w:val="none" w:sz="0" w:space="0" w:color="auto"/>
        <w:bottom w:val="none" w:sz="0" w:space="0" w:color="auto"/>
        <w:right w:val="none" w:sz="0" w:space="0" w:color="auto"/>
      </w:divBdr>
    </w:div>
    <w:div w:id="19112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kinsella@ngh.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amptongeneral.nhs.uk/About/Equality-and-diversity-information/Equality-Diversity-Inclusion.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rthamptongeneral.nhs.uk/About/Equality-and-diversity-information/Equality-Diversity-Inclusion.aspx" TargetMode="External"/><Relationship Id="rId4" Type="http://schemas.openxmlformats.org/officeDocument/2006/relationships/settings" Target="settings.xml"/><Relationship Id="rId9" Type="http://schemas.openxmlformats.org/officeDocument/2006/relationships/hyperlink" Target="mailto:tim.brown@ngh.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6918-B785-496F-B67C-AE78D8D1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3065</Words>
  <Characters>17472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IT dept</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Kinsella, Sarah - Human Resources</dc:creator>
  <cp:lastModifiedBy>Kinsella, Sarah - Human Resources</cp:lastModifiedBy>
  <cp:revision>3</cp:revision>
  <cp:lastPrinted>2020-08-18T09:40:00Z</cp:lastPrinted>
  <dcterms:created xsi:type="dcterms:W3CDTF">2021-03-19T14:44:00Z</dcterms:created>
  <dcterms:modified xsi:type="dcterms:W3CDTF">2021-03-19T14:44:00Z</dcterms:modified>
</cp:coreProperties>
</file>