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71EF" w14:textId="77777777" w:rsidR="00FE5E3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2F0D509" w14:textId="77777777" w:rsidR="003A55EC" w:rsidRPr="005A4F7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A4F77">
        <w:rPr>
          <w:rFonts w:ascii="Arial" w:hAnsi="Arial" w:cs="Arial"/>
          <w:b/>
          <w:u w:val="single"/>
        </w:rPr>
        <w:t>Trade Union (Facilities Time Publication Requirements) Regulations 2017</w:t>
      </w:r>
    </w:p>
    <w:p w14:paraId="4C2993BC" w14:textId="3EEF1CD0" w:rsidR="003A55EC" w:rsidRPr="005A4F7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A4F77">
        <w:rPr>
          <w:rFonts w:ascii="Arial" w:hAnsi="Arial" w:cs="Arial"/>
          <w:b/>
          <w:u w:val="single"/>
        </w:rPr>
        <w:t>1 April 20</w:t>
      </w:r>
      <w:r w:rsidR="004C79AE" w:rsidRPr="005A4F77">
        <w:rPr>
          <w:rFonts w:ascii="Arial" w:hAnsi="Arial" w:cs="Arial"/>
          <w:b/>
          <w:u w:val="single"/>
        </w:rPr>
        <w:t>2</w:t>
      </w:r>
      <w:r w:rsidR="002E034B">
        <w:rPr>
          <w:rFonts w:ascii="Arial" w:hAnsi="Arial" w:cs="Arial"/>
          <w:b/>
          <w:u w:val="single"/>
        </w:rPr>
        <w:t>4</w:t>
      </w:r>
      <w:r w:rsidR="002D4966" w:rsidRPr="005A4F77">
        <w:rPr>
          <w:rFonts w:ascii="Arial" w:hAnsi="Arial" w:cs="Arial"/>
          <w:b/>
          <w:u w:val="single"/>
        </w:rPr>
        <w:t xml:space="preserve"> </w:t>
      </w:r>
      <w:r w:rsidR="00D87EFA" w:rsidRPr="005A4F77">
        <w:rPr>
          <w:rFonts w:ascii="Arial" w:hAnsi="Arial" w:cs="Arial"/>
          <w:b/>
          <w:u w:val="single"/>
        </w:rPr>
        <w:t>to 31</w:t>
      </w:r>
      <w:r w:rsidR="0076452F" w:rsidRPr="005A4F77">
        <w:rPr>
          <w:rFonts w:ascii="Arial" w:hAnsi="Arial" w:cs="Arial"/>
          <w:b/>
          <w:u w:val="single"/>
        </w:rPr>
        <w:t xml:space="preserve"> March 20</w:t>
      </w:r>
      <w:r w:rsidR="007445C8" w:rsidRPr="005A4F77">
        <w:rPr>
          <w:rFonts w:ascii="Arial" w:hAnsi="Arial" w:cs="Arial"/>
          <w:b/>
          <w:u w:val="single"/>
        </w:rPr>
        <w:t>2</w:t>
      </w:r>
      <w:r w:rsidR="002E034B">
        <w:rPr>
          <w:rFonts w:ascii="Arial" w:hAnsi="Arial" w:cs="Arial"/>
          <w:b/>
          <w:u w:val="single"/>
        </w:rPr>
        <w:t>5</w:t>
      </w:r>
    </w:p>
    <w:p w14:paraId="7215687D" w14:textId="77777777" w:rsidR="003A55EC" w:rsidRPr="005A4F77" w:rsidRDefault="003A55EC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A567168" w14:textId="7591C849" w:rsidR="00FE5E37" w:rsidRPr="005A4F77" w:rsidRDefault="00FE5E37" w:rsidP="003A55EC">
      <w:p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 xml:space="preserve">As part of the Trade Union (Facilities Time Publication Requirements) Regulations 2017, </w:t>
      </w:r>
      <w:r w:rsidR="002B4831" w:rsidRPr="005A4F77">
        <w:rPr>
          <w:rFonts w:ascii="Arial" w:hAnsi="Arial" w:cs="Arial"/>
        </w:rPr>
        <w:t xml:space="preserve">we have </w:t>
      </w:r>
      <w:r w:rsidRPr="005A4F77">
        <w:rPr>
          <w:rFonts w:ascii="Arial" w:hAnsi="Arial" w:cs="Arial"/>
        </w:rPr>
        <w:t>collated information regarding the</w:t>
      </w:r>
      <w:r w:rsidR="002B4831" w:rsidRPr="005A4F77">
        <w:rPr>
          <w:rFonts w:ascii="Arial" w:hAnsi="Arial" w:cs="Arial"/>
        </w:rPr>
        <w:t xml:space="preserve"> facilities time activities of our </w:t>
      </w:r>
      <w:r w:rsidRPr="005A4F77">
        <w:rPr>
          <w:rFonts w:ascii="Arial" w:hAnsi="Arial" w:cs="Arial"/>
        </w:rPr>
        <w:t xml:space="preserve">recognised Trade Union officials during the relevant period </w:t>
      </w:r>
      <w:r w:rsidR="006F2EBC" w:rsidRPr="005A4F77">
        <w:rPr>
          <w:rFonts w:ascii="Arial" w:hAnsi="Arial" w:cs="Arial"/>
        </w:rPr>
        <w:t>of 1 April 20</w:t>
      </w:r>
      <w:r w:rsidR="004C79AE" w:rsidRPr="005A4F77">
        <w:rPr>
          <w:rFonts w:ascii="Arial" w:hAnsi="Arial" w:cs="Arial"/>
        </w:rPr>
        <w:t>2</w:t>
      </w:r>
      <w:r w:rsidR="002E034B">
        <w:rPr>
          <w:rFonts w:ascii="Arial" w:hAnsi="Arial" w:cs="Arial"/>
        </w:rPr>
        <w:t>4</w:t>
      </w:r>
      <w:r w:rsidR="006F2EBC" w:rsidRPr="005A4F77">
        <w:rPr>
          <w:rFonts w:ascii="Arial" w:hAnsi="Arial" w:cs="Arial"/>
        </w:rPr>
        <w:t xml:space="preserve"> to 31 March 20</w:t>
      </w:r>
      <w:r w:rsidR="002D4966" w:rsidRPr="005A4F77">
        <w:rPr>
          <w:rFonts w:ascii="Arial" w:hAnsi="Arial" w:cs="Arial"/>
        </w:rPr>
        <w:t>2</w:t>
      </w:r>
      <w:r w:rsidR="002E034B">
        <w:rPr>
          <w:rFonts w:ascii="Arial" w:hAnsi="Arial" w:cs="Arial"/>
        </w:rPr>
        <w:t>5</w:t>
      </w:r>
      <w:r w:rsidRPr="005A4F77">
        <w:rPr>
          <w:rFonts w:ascii="Arial" w:hAnsi="Arial" w:cs="Arial"/>
        </w:rPr>
        <w:t>.</w:t>
      </w:r>
    </w:p>
    <w:p w14:paraId="21496F23" w14:textId="77777777" w:rsidR="00FE5E37" w:rsidRPr="005A4F77" w:rsidRDefault="00FE5E37" w:rsidP="003A55EC">
      <w:pPr>
        <w:spacing w:after="0" w:line="240" w:lineRule="auto"/>
        <w:rPr>
          <w:rFonts w:ascii="Arial" w:hAnsi="Arial" w:cs="Arial"/>
        </w:rPr>
      </w:pPr>
    </w:p>
    <w:p w14:paraId="193948B7" w14:textId="77777777" w:rsidR="003A55EC" w:rsidRPr="005A4F77" w:rsidRDefault="002B4831" w:rsidP="003A55EC">
      <w:p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 xml:space="preserve">We have </w:t>
      </w:r>
      <w:r w:rsidR="00FE5E37" w:rsidRPr="005A4F77">
        <w:rPr>
          <w:rFonts w:ascii="Arial" w:hAnsi="Arial" w:cs="Arial"/>
        </w:rPr>
        <w:t>undertaken the following calculations</w:t>
      </w:r>
      <w:r w:rsidR="00990BD7" w:rsidRPr="005A4F77">
        <w:rPr>
          <w:rFonts w:ascii="Arial" w:hAnsi="Arial" w:cs="Arial"/>
        </w:rPr>
        <w:t xml:space="preserve"> and the results are detailed in the tables below</w:t>
      </w:r>
      <w:r w:rsidR="00FE5E37" w:rsidRPr="005A4F77">
        <w:rPr>
          <w:rFonts w:ascii="Arial" w:hAnsi="Arial" w:cs="Arial"/>
        </w:rPr>
        <w:t>:</w:t>
      </w:r>
    </w:p>
    <w:p w14:paraId="45A75465" w14:textId="77777777" w:rsidR="005A3D6D" w:rsidRPr="005A4F77" w:rsidRDefault="005A3D6D" w:rsidP="003A55EC">
      <w:pPr>
        <w:spacing w:after="0" w:line="240" w:lineRule="auto"/>
        <w:rPr>
          <w:rFonts w:ascii="Arial" w:hAnsi="Arial" w:cs="Arial"/>
        </w:rPr>
      </w:pPr>
    </w:p>
    <w:p w14:paraId="3F5D7E35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Number of employees who were relevant union officials during the relevant period</w:t>
      </w:r>
    </w:p>
    <w:p w14:paraId="00BF9717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Full-time equivalent employee number</w:t>
      </w:r>
    </w:p>
    <w:p w14:paraId="51140D0B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Percentage of time spent on facility time</w:t>
      </w:r>
    </w:p>
    <w:p w14:paraId="094547FA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Percentage of pay bill spent on facility time</w:t>
      </w:r>
    </w:p>
    <w:p w14:paraId="41E6ECC1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 xml:space="preserve">Paid trade union </w:t>
      </w:r>
      <w:r w:rsidR="00990BD7" w:rsidRPr="005A4F77">
        <w:rPr>
          <w:rFonts w:ascii="Arial" w:hAnsi="Arial" w:cs="Arial"/>
        </w:rPr>
        <w:t>activities</w:t>
      </w:r>
    </w:p>
    <w:p w14:paraId="53158506" w14:textId="77777777" w:rsidR="00990BD7" w:rsidRPr="005A4F77" w:rsidRDefault="00990BD7" w:rsidP="00990BD7">
      <w:pPr>
        <w:spacing w:after="0" w:line="240" w:lineRule="auto"/>
        <w:rPr>
          <w:rFonts w:ascii="Arial" w:hAnsi="Arial" w:cs="Arial"/>
        </w:rPr>
      </w:pPr>
    </w:p>
    <w:p w14:paraId="7B9D1A02" w14:textId="77777777" w:rsidR="00990BD7" w:rsidRPr="005A4F7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>Table 1 – Relevant Union Officials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702"/>
      </w:tblGrid>
      <w:tr w:rsidR="00990BD7" w:rsidRPr="005A4F77" w14:paraId="4474D0C5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54FBAEF8" w14:textId="10D90202" w:rsidR="00990BD7" w:rsidRPr="005A4F77" w:rsidRDefault="00990BD7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 xml:space="preserve">Number of Employees Who Were Relevant Union Officials </w:t>
            </w:r>
            <w:r w:rsidR="0067203E">
              <w:rPr>
                <w:rFonts w:ascii="Arial" w:hAnsi="Arial" w:cs="Arial"/>
              </w:rPr>
              <w:t>as at 31 March</w:t>
            </w:r>
          </w:p>
        </w:tc>
        <w:tc>
          <w:tcPr>
            <w:tcW w:w="4816" w:type="dxa"/>
            <w:vAlign w:val="bottom"/>
          </w:tcPr>
          <w:p w14:paraId="56743DD4" w14:textId="6C69D0C4" w:rsidR="00990BD7" w:rsidRPr="005A4F77" w:rsidRDefault="00990BD7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Full-Time Equivalent Employee Number</w:t>
            </w:r>
            <w:r w:rsidR="0067203E">
              <w:rPr>
                <w:rFonts w:ascii="Arial" w:hAnsi="Arial" w:cs="Arial"/>
              </w:rPr>
              <w:t>, as at 31 March</w:t>
            </w:r>
          </w:p>
        </w:tc>
      </w:tr>
      <w:tr w:rsidR="001D6B15" w:rsidRPr="001D6B15" w14:paraId="19A3C891" w14:textId="77777777" w:rsidTr="00990BD7">
        <w:trPr>
          <w:jc w:val="center"/>
        </w:trPr>
        <w:tc>
          <w:tcPr>
            <w:tcW w:w="4816" w:type="dxa"/>
            <w:vAlign w:val="center"/>
          </w:tcPr>
          <w:p w14:paraId="5079FED7" w14:textId="77777777" w:rsidR="00990BD7" w:rsidRPr="001D6B15" w:rsidRDefault="00990BD7" w:rsidP="00990BD7">
            <w:pPr>
              <w:jc w:val="center"/>
              <w:rPr>
                <w:rFonts w:ascii="Arial" w:hAnsi="Arial" w:cs="Arial"/>
              </w:rPr>
            </w:pPr>
          </w:p>
          <w:p w14:paraId="73325FCF" w14:textId="11227993" w:rsidR="00990BD7" w:rsidRPr="001D6B15" w:rsidRDefault="001D6B15" w:rsidP="00990BD7">
            <w:pPr>
              <w:jc w:val="center"/>
              <w:rPr>
                <w:rFonts w:ascii="Arial" w:hAnsi="Arial" w:cs="Arial"/>
              </w:rPr>
            </w:pPr>
            <w:r w:rsidRPr="001D6B15">
              <w:rPr>
                <w:rFonts w:ascii="Arial" w:hAnsi="Arial" w:cs="Arial"/>
              </w:rPr>
              <w:t>29</w:t>
            </w:r>
          </w:p>
        </w:tc>
        <w:tc>
          <w:tcPr>
            <w:tcW w:w="4816" w:type="dxa"/>
            <w:vAlign w:val="center"/>
          </w:tcPr>
          <w:p w14:paraId="6E928301" w14:textId="77777777" w:rsidR="00990BD7" w:rsidRPr="001D6B15" w:rsidRDefault="00990BD7" w:rsidP="00990BD7">
            <w:pPr>
              <w:jc w:val="center"/>
              <w:rPr>
                <w:rFonts w:ascii="Arial" w:hAnsi="Arial" w:cs="Arial"/>
              </w:rPr>
            </w:pPr>
          </w:p>
          <w:p w14:paraId="05B8B27B" w14:textId="64768D5C" w:rsidR="007C1297" w:rsidRPr="001D6B15" w:rsidRDefault="001D6B15" w:rsidP="00A531D0">
            <w:pPr>
              <w:jc w:val="center"/>
              <w:rPr>
                <w:rFonts w:ascii="Arial" w:hAnsi="Arial" w:cs="Arial"/>
              </w:rPr>
            </w:pPr>
            <w:r w:rsidRPr="001D6B15">
              <w:rPr>
                <w:rFonts w:ascii="Arial" w:hAnsi="Arial" w:cs="Arial"/>
              </w:rPr>
              <w:t>25.51</w:t>
            </w:r>
          </w:p>
        </w:tc>
      </w:tr>
    </w:tbl>
    <w:p w14:paraId="3B5218C6" w14:textId="77777777" w:rsidR="00990BD7" w:rsidRPr="005A4F77" w:rsidRDefault="00990BD7" w:rsidP="00990BD7">
      <w:pPr>
        <w:spacing w:after="0" w:line="240" w:lineRule="auto"/>
        <w:rPr>
          <w:rFonts w:ascii="Arial" w:hAnsi="Arial" w:cs="Arial"/>
        </w:rPr>
      </w:pPr>
    </w:p>
    <w:p w14:paraId="578D4350" w14:textId="77777777" w:rsidR="00990BD7" w:rsidRPr="006E1698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 xml:space="preserve">Table 2 – Percentage of </w:t>
      </w:r>
      <w:r w:rsidRPr="006E1698">
        <w:rPr>
          <w:rFonts w:ascii="Arial" w:hAnsi="Arial" w:cs="Arial"/>
          <w:b/>
        </w:rPr>
        <w:t>Time Spent on Facility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702"/>
      </w:tblGrid>
      <w:tr w:rsidR="006E1698" w:rsidRPr="006E1698" w14:paraId="6C1C40D5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615C36AB" w14:textId="77777777" w:rsidR="002827F2" w:rsidRPr="006E1698" w:rsidRDefault="002827F2" w:rsidP="002827F2">
            <w:pPr>
              <w:jc w:val="center"/>
              <w:rPr>
                <w:rFonts w:ascii="Arial" w:hAnsi="Arial" w:cs="Arial"/>
              </w:rPr>
            </w:pPr>
          </w:p>
          <w:p w14:paraId="29AA1976" w14:textId="77777777" w:rsidR="00192897" w:rsidRPr="006E1698" w:rsidRDefault="002827F2" w:rsidP="002827F2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P</w:t>
            </w:r>
            <w:r w:rsidR="00990BD7" w:rsidRPr="006E1698">
              <w:rPr>
                <w:rFonts w:ascii="Arial" w:hAnsi="Arial" w:cs="Arial"/>
              </w:rPr>
              <w:t>ercentage of Time</w:t>
            </w:r>
          </w:p>
        </w:tc>
        <w:tc>
          <w:tcPr>
            <w:tcW w:w="4816" w:type="dxa"/>
            <w:vAlign w:val="bottom"/>
          </w:tcPr>
          <w:p w14:paraId="7D9F8773" w14:textId="77777777" w:rsidR="002827F2" w:rsidRPr="006E1698" w:rsidRDefault="002827F2" w:rsidP="002827F2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N</w:t>
            </w:r>
            <w:r w:rsidR="00990BD7" w:rsidRPr="006E1698">
              <w:rPr>
                <w:rFonts w:ascii="Arial" w:hAnsi="Arial" w:cs="Arial"/>
              </w:rPr>
              <w:t>umber of Employees</w:t>
            </w:r>
          </w:p>
        </w:tc>
      </w:tr>
      <w:tr w:rsidR="006E1698" w:rsidRPr="006E1698" w14:paraId="7AE6FC73" w14:textId="77777777" w:rsidTr="002827F2">
        <w:trPr>
          <w:jc w:val="center"/>
        </w:trPr>
        <w:tc>
          <w:tcPr>
            <w:tcW w:w="4816" w:type="dxa"/>
            <w:vAlign w:val="center"/>
          </w:tcPr>
          <w:p w14:paraId="12F0278A" w14:textId="77777777" w:rsidR="00693AA3" w:rsidRPr="006E1698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22298BDD" w14:textId="77777777" w:rsidR="00192897" w:rsidRPr="006E1698" w:rsidRDefault="00990BD7" w:rsidP="00693AA3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0%</w:t>
            </w:r>
          </w:p>
        </w:tc>
        <w:tc>
          <w:tcPr>
            <w:tcW w:w="4816" w:type="dxa"/>
            <w:vAlign w:val="bottom"/>
          </w:tcPr>
          <w:p w14:paraId="2EE74FA3" w14:textId="59B82D84" w:rsidR="00990BD7" w:rsidRPr="006E1698" w:rsidRDefault="00955E38" w:rsidP="002827F2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7</w:t>
            </w:r>
          </w:p>
        </w:tc>
      </w:tr>
      <w:tr w:rsidR="006E1698" w:rsidRPr="006E1698" w14:paraId="2EE9D5DE" w14:textId="77777777" w:rsidTr="002827F2">
        <w:trPr>
          <w:jc w:val="center"/>
        </w:trPr>
        <w:tc>
          <w:tcPr>
            <w:tcW w:w="4816" w:type="dxa"/>
            <w:vAlign w:val="center"/>
          </w:tcPr>
          <w:p w14:paraId="0A6FB89F" w14:textId="77777777" w:rsidR="00693AA3" w:rsidRPr="006E1698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7B0A7484" w14:textId="77777777" w:rsidR="00192897" w:rsidRPr="006E1698" w:rsidRDefault="00990BD7" w:rsidP="00693AA3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1%-50%</w:t>
            </w:r>
          </w:p>
        </w:tc>
        <w:tc>
          <w:tcPr>
            <w:tcW w:w="4816" w:type="dxa"/>
            <w:vAlign w:val="bottom"/>
          </w:tcPr>
          <w:p w14:paraId="5B24D41A" w14:textId="0E0EB47A" w:rsidR="00990BD7" w:rsidRPr="006E1698" w:rsidRDefault="00937337" w:rsidP="002827F2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2</w:t>
            </w:r>
            <w:r w:rsidR="006855F8" w:rsidRPr="006E1698">
              <w:rPr>
                <w:rFonts w:ascii="Arial" w:hAnsi="Arial" w:cs="Arial"/>
              </w:rPr>
              <w:t>3</w:t>
            </w:r>
          </w:p>
        </w:tc>
      </w:tr>
      <w:tr w:rsidR="006E1698" w:rsidRPr="006E1698" w14:paraId="4C2FBFCE" w14:textId="77777777" w:rsidTr="002827F2">
        <w:trPr>
          <w:jc w:val="center"/>
        </w:trPr>
        <w:tc>
          <w:tcPr>
            <w:tcW w:w="4816" w:type="dxa"/>
            <w:vAlign w:val="center"/>
          </w:tcPr>
          <w:p w14:paraId="5BBE791E" w14:textId="77777777" w:rsidR="00693AA3" w:rsidRPr="006E1698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35395B13" w14:textId="77777777" w:rsidR="00192897" w:rsidRPr="006E1698" w:rsidRDefault="00990BD7" w:rsidP="00693AA3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51%-99%</w:t>
            </w:r>
          </w:p>
        </w:tc>
        <w:tc>
          <w:tcPr>
            <w:tcW w:w="4816" w:type="dxa"/>
            <w:vAlign w:val="bottom"/>
          </w:tcPr>
          <w:p w14:paraId="7467C64F" w14:textId="187C0EA0" w:rsidR="00990BD7" w:rsidRPr="006E1698" w:rsidRDefault="00331F6D" w:rsidP="002827F2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0</w:t>
            </w:r>
          </w:p>
        </w:tc>
      </w:tr>
      <w:tr w:rsidR="00990BD7" w:rsidRPr="006E1698" w14:paraId="04801B67" w14:textId="77777777" w:rsidTr="002827F2">
        <w:trPr>
          <w:jc w:val="center"/>
        </w:trPr>
        <w:tc>
          <w:tcPr>
            <w:tcW w:w="4816" w:type="dxa"/>
            <w:vAlign w:val="center"/>
          </w:tcPr>
          <w:p w14:paraId="5EDE2C75" w14:textId="77777777" w:rsidR="00693AA3" w:rsidRPr="006E1698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0C5C708E" w14:textId="77777777" w:rsidR="00192897" w:rsidRPr="006E1698" w:rsidRDefault="00990BD7" w:rsidP="00693AA3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100%</w:t>
            </w:r>
          </w:p>
        </w:tc>
        <w:tc>
          <w:tcPr>
            <w:tcW w:w="4816" w:type="dxa"/>
            <w:vAlign w:val="bottom"/>
          </w:tcPr>
          <w:p w14:paraId="5156A837" w14:textId="514EB466" w:rsidR="00990BD7" w:rsidRPr="006E1698" w:rsidRDefault="00104CE0" w:rsidP="002827F2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5</w:t>
            </w:r>
          </w:p>
        </w:tc>
      </w:tr>
    </w:tbl>
    <w:p w14:paraId="41A7F497" w14:textId="77777777" w:rsidR="00947D14" w:rsidRPr="006E1698" w:rsidRDefault="00947D14" w:rsidP="003A55EC">
      <w:pPr>
        <w:spacing w:after="0" w:line="240" w:lineRule="auto"/>
        <w:rPr>
          <w:rFonts w:ascii="Arial" w:hAnsi="Arial" w:cs="Arial"/>
        </w:rPr>
      </w:pPr>
    </w:p>
    <w:p w14:paraId="635F2B35" w14:textId="77777777" w:rsidR="00990BD7" w:rsidRPr="006E1698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6E1698">
        <w:rPr>
          <w:rFonts w:ascii="Arial" w:hAnsi="Arial" w:cs="Arial"/>
          <w:b/>
        </w:rPr>
        <w:t>Table 3 – Percentage of Pay Bill Spent on Facility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99"/>
        <w:gridCol w:w="4707"/>
      </w:tblGrid>
      <w:tr w:rsidR="006E1698" w:rsidRPr="006E1698" w14:paraId="38827AA4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55096EBD" w14:textId="77777777" w:rsidR="002827F2" w:rsidRPr="006E1698" w:rsidRDefault="002827F2" w:rsidP="002827F2">
            <w:pPr>
              <w:rPr>
                <w:rFonts w:ascii="Arial" w:hAnsi="Arial" w:cs="Arial"/>
              </w:rPr>
            </w:pPr>
          </w:p>
          <w:p w14:paraId="65EA245F" w14:textId="77777777" w:rsidR="00192897" w:rsidRPr="006E1698" w:rsidRDefault="00990BD7" w:rsidP="002827F2">
            <w:pPr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Total Cost of Facility Time</w:t>
            </w:r>
          </w:p>
        </w:tc>
        <w:tc>
          <w:tcPr>
            <w:tcW w:w="4816" w:type="dxa"/>
            <w:vAlign w:val="bottom"/>
          </w:tcPr>
          <w:p w14:paraId="628236F0" w14:textId="4AA7F880" w:rsidR="00990BD7" w:rsidRPr="006E1698" w:rsidRDefault="00104CE0" w:rsidP="004C79AE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£</w:t>
            </w:r>
            <w:r w:rsidR="003D27A6" w:rsidRPr="006E1698">
              <w:rPr>
                <w:rFonts w:ascii="Arial" w:hAnsi="Arial" w:cs="Arial"/>
              </w:rPr>
              <w:t>172,544.14</w:t>
            </w:r>
          </w:p>
        </w:tc>
      </w:tr>
      <w:tr w:rsidR="006E1698" w:rsidRPr="006E1698" w14:paraId="4D3F3612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00A7BD2C" w14:textId="77777777" w:rsidR="002827F2" w:rsidRPr="006E1698" w:rsidRDefault="002827F2" w:rsidP="002827F2">
            <w:pPr>
              <w:rPr>
                <w:rFonts w:ascii="Arial" w:hAnsi="Arial" w:cs="Arial"/>
              </w:rPr>
            </w:pPr>
          </w:p>
          <w:p w14:paraId="3E11016C" w14:textId="77777777" w:rsidR="00192897" w:rsidRPr="006E1698" w:rsidRDefault="002827F2" w:rsidP="002827F2">
            <w:pPr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T</w:t>
            </w:r>
            <w:r w:rsidR="00990BD7" w:rsidRPr="006E1698">
              <w:rPr>
                <w:rFonts w:ascii="Arial" w:hAnsi="Arial" w:cs="Arial"/>
              </w:rPr>
              <w:t>otal Pay Bill</w:t>
            </w:r>
          </w:p>
        </w:tc>
        <w:tc>
          <w:tcPr>
            <w:tcW w:w="4816" w:type="dxa"/>
            <w:vAlign w:val="bottom"/>
          </w:tcPr>
          <w:p w14:paraId="2D706E2B" w14:textId="2B860C3A" w:rsidR="005A4F77" w:rsidRPr="006E1698" w:rsidRDefault="00104CE0" w:rsidP="002827F2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£</w:t>
            </w:r>
            <w:r w:rsidR="007A0C89" w:rsidRPr="006E1698">
              <w:rPr>
                <w:rFonts w:ascii="Arial" w:hAnsi="Arial" w:cs="Arial"/>
              </w:rPr>
              <w:t>305</w:t>
            </w:r>
            <w:r w:rsidR="007A0C89" w:rsidRPr="006E1698">
              <w:rPr>
                <w:rFonts w:ascii="Arial" w:hAnsi="Arial" w:cs="Arial"/>
              </w:rPr>
              <w:t>,</w:t>
            </w:r>
            <w:r w:rsidR="007A0C89" w:rsidRPr="006E1698">
              <w:rPr>
                <w:rFonts w:ascii="Arial" w:hAnsi="Arial" w:cs="Arial"/>
              </w:rPr>
              <w:t>580</w:t>
            </w:r>
            <w:r w:rsidR="007A0C89" w:rsidRPr="006E1698">
              <w:rPr>
                <w:rFonts w:ascii="Arial" w:hAnsi="Arial" w:cs="Arial"/>
              </w:rPr>
              <w:t>,</w:t>
            </w:r>
            <w:r w:rsidR="007A0C89" w:rsidRPr="006E1698">
              <w:rPr>
                <w:rFonts w:ascii="Arial" w:hAnsi="Arial" w:cs="Arial"/>
              </w:rPr>
              <w:t>733</w:t>
            </w:r>
          </w:p>
        </w:tc>
      </w:tr>
      <w:tr w:rsidR="006E1698" w:rsidRPr="006E1698" w14:paraId="4A801416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0D0A3133" w14:textId="77777777" w:rsidR="00990BD7" w:rsidRPr="006E1698" w:rsidRDefault="00990BD7" w:rsidP="002827F2">
            <w:pPr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Percentage of Total Pay Bill Spent on Facility Time</w:t>
            </w:r>
          </w:p>
        </w:tc>
        <w:tc>
          <w:tcPr>
            <w:tcW w:w="4816" w:type="dxa"/>
            <w:vAlign w:val="bottom"/>
          </w:tcPr>
          <w:p w14:paraId="5B0E3124" w14:textId="3BD0E7DC" w:rsidR="00990BD7" w:rsidRPr="006E1698" w:rsidRDefault="004C79AE" w:rsidP="00A531D0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0.0</w:t>
            </w:r>
            <w:r w:rsidR="007A0C89" w:rsidRPr="006E1698">
              <w:rPr>
                <w:rFonts w:ascii="Arial" w:hAnsi="Arial" w:cs="Arial"/>
              </w:rPr>
              <w:t>6</w:t>
            </w:r>
            <w:r w:rsidRPr="006E1698">
              <w:rPr>
                <w:rFonts w:ascii="Arial" w:hAnsi="Arial" w:cs="Arial"/>
              </w:rPr>
              <w:t>%</w:t>
            </w:r>
          </w:p>
        </w:tc>
      </w:tr>
    </w:tbl>
    <w:p w14:paraId="2E8F59F3" w14:textId="77777777" w:rsidR="00693AA3" w:rsidRPr="006E1698" w:rsidRDefault="00693AA3" w:rsidP="00693AA3">
      <w:pPr>
        <w:spacing w:after="0" w:line="240" w:lineRule="auto"/>
        <w:rPr>
          <w:rFonts w:ascii="Arial" w:hAnsi="Arial" w:cs="Arial"/>
          <w:b/>
          <w:u w:val="single"/>
        </w:rPr>
      </w:pPr>
    </w:p>
    <w:p w14:paraId="4C7A7D78" w14:textId="77777777" w:rsidR="00693AA3" w:rsidRPr="006E1698" w:rsidRDefault="00693AA3" w:rsidP="00693AA3">
      <w:pPr>
        <w:spacing w:after="0" w:line="240" w:lineRule="auto"/>
        <w:rPr>
          <w:rFonts w:ascii="Arial" w:hAnsi="Arial" w:cs="Arial"/>
          <w:b/>
        </w:rPr>
      </w:pPr>
      <w:r w:rsidRPr="006E1698">
        <w:rPr>
          <w:rFonts w:ascii="Arial" w:hAnsi="Arial" w:cs="Arial"/>
          <w:b/>
        </w:rPr>
        <w:t>Table 4 – Paid Trade Union Activities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1"/>
        <w:gridCol w:w="4695"/>
      </w:tblGrid>
      <w:tr w:rsidR="006E1698" w:rsidRPr="006E1698" w14:paraId="58EFF308" w14:textId="77777777" w:rsidTr="00477FF3">
        <w:trPr>
          <w:tblHeader/>
          <w:jc w:val="center"/>
        </w:trPr>
        <w:tc>
          <w:tcPr>
            <w:tcW w:w="4816" w:type="dxa"/>
          </w:tcPr>
          <w:p w14:paraId="122C354B" w14:textId="77777777" w:rsidR="00693AA3" w:rsidRPr="006E1698" w:rsidRDefault="00693AA3" w:rsidP="00693AA3">
            <w:pPr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Time Spent on Paid Trade Union Activities as a Percentage of Total Paid Facility Time Hours</w:t>
            </w:r>
          </w:p>
        </w:tc>
        <w:tc>
          <w:tcPr>
            <w:tcW w:w="4816" w:type="dxa"/>
            <w:vAlign w:val="bottom"/>
          </w:tcPr>
          <w:p w14:paraId="2535DCA3" w14:textId="34B49C37" w:rsidR="00104CE0" w:rsidRPr="006E1698" w:rsidRDefault="00104CE0" w:rsidP="00104CE0">
            <w:pPr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 xml:space="preserve"> </w:t>
            </w:r>
          </w:p>
          <w:p w14:paraId="0F14C581" w14:textId="00E16454" w:rsidR="00104CE0" w:rsidRPr="006E1698" w:rsidRDefault="007A0C89" w:rsidP="00104CE0">
            <w:pPr>
              <w:jc w:val="center"/>
              <w:rPr>
                <w:rFonts w:ascii="Arial" w:hAnsi="Arial" w:cs="Arial"/>
              </w:rPr>
            </w:pPr>
            <w:r w:rsidRPr="006E1698">
              <w:rPr>
                <w:rFonts w:ascii="Arial" w:hAnsi="Arial" w:cs="Arial"/>
              </w:rPr>
              <w:t>1.4</w:t>
            </w:r>
            <w:r w:rsidRPr="006E1698">
              <w:rPr>
                <w:rFonts w:ascii="Arial" w:hAnsi="Arial" w:cs="Arial"/>
              </w:rPr>
              <w:t>7</w:t>
            </w:r>
            <w:r w:rsidR="00104CE0" w:rsidRPr="006E1698">
              <w:rPr>
                <w:rFonts w:ascii="Arial" w:hAnsi="Arial" w:cs="Arial"/>
              </w:rPr>
              <w:t>%</w:t>
            </w:r>
          </w:p>
          <w:p w14:paraId="76EC0E5D" w14:textId="2DAB71B4" w:rsidR="007C1297" w:rsidRPr="006E1698" w:rsidRDefault="007C1297" w:rsidP="005D6E0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4B4D74" w14:textId="77777777" w:rsidR="00990BD7" w:rsidRDefault="00990BD7" w:rsidP="003A55EC">
      <w:pPr>
        <w:spacing w:after="0" w:line="240" w:lineRule="auto"/>
        <w:rPr>
          <w:rFonts w:ascii="Arial" w:hAnsi="Arial" w:cs="Arial"/>
        </w:rPr>
      </w:pPr>
    </w:p>
    <w:p w14:paraId="4BE722EC" w14:textId="77777777" w:rsidR="00722869" w:rsidRPr="004A2B7F" w:rsidRDefault="00722869" w:rsidP="003A55EC">
      <w:pPr>
        <w:spacing w:after="0" w:line="240" w:lineRule="auto"/>
        <w:rPr>
          <w:rFonts w:ascii="Arial" w:hAnsi="Arial" w:cs="Arial"/>
        </w:rPr>
      </w:pPr>
    </w:p>
    <w:sectPr w:rsidR="00722869" w:rsidRPr="004A2B7F" w:rsidSect="00F87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224" w:bottom="1433" w:left="1267" w:header="284" w:footer="2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58ED" w14:textId="77777777" w:rsidR="00990BD7" w:rsidRDefault="00990BD7" w:rsidP="006C6C82">
      <w:pPr>
        <w:spacing w:after="0" w:line="240" w:lineRule="auto"/>
      </w:pPr>
      <w:r>
        <w:separator/>
      </w:r>
    </w:p>
  </w:endnote>
  <w:endnote w:type="continuationSeparator" w:id="0">
    <w:p w14:paraId="73FF3087" w14:textId="77777777" w:rsidR="00990BD7" w:rsidRDefault="00990BD7" w:rsidP="006C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CBADE" w14:textId="77777777" w:rsidR="0067203E" w:rsidRDefault="00672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934436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C3F374E" w14:textId="77777777" w:rsidR="00990BD7" w:rsidRPr="00947D14" w:rsidRDefault="00990BD7">
            <w:pPr>
              <w:pStyle w:val="Footer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7D1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0F0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47D1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0F0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203994FD" w14:textId="403BA3E6" w:rsidR="00990BD7" w:rsidRPr="00947D14" w:rsidRDefault="00D81063" w:rsidP="00947D1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C40A0">
              <w:rPr>
                <w:rFonts w:ascii="Arial" w:hAnsi="Arial" w:cs="Arial"/>
                <w:bCs/>
                <w:sz w:val="16"/>
                <w:szCs w:val="16"/>
              </w:rPr>
              <w:t>May 2025</w:t>
            </w:r>
          </w:p>
        </w:sdtContent>
      </w:sdt>
    </w:sdtContent>
  </w:sdt>
  <w:p w14:paraId="5C1565E1" w14:textId="77777777" w:rsidR="00990BD7" w:rsidRDefault="00990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475A9" w14:textId="77777777" w:rsidR="0067203E" w:rsidRDefault="00672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39205" w14:textId="77777777" w:rsidR="00990BD7" w:rsidRDefault="00990BD7" w:rsidP="006C6C82">
      <w:pPr>
        <w:spacing w:after="0" w:line="240" w:lineRule="auto"/>
      </w:pPr>
      <w:r>
        <w:separator/>
      </w:r>
    </w:p>
  </w:footnote>
  <w:footnote w:type="continuationSeparator" w:id="0">
    <w:p w14:paraId="471EDBA3" w14:textId="77777777" w:rsidR="00990BD7" w:rsidRDefault="00990BD7" w:rsidP="006C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DC50" w14:textId="77777777" w:rsidR="0067203E" w:rsidRDefault="00672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C958" w14:textId="4CF1FE43" w:rsidR="002A55E2" w:rsidRPr="002A55E2" w:rsidRDefault="002A55E2" w:rsidP="002A55E2"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right"/>
      <w:textAlignment w:val="baseline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2A55E2">
      <w:rPr>
        <w:rFonts w:ascii="Times New Roman" w:eastAsia="Times New Roman" w:hAnsi="Times New Roman" w:cs="Times New Roman"/>
        <w:noProof/>
        <w:sz w:val="20"/>
        <w:szCs w:val="20"/>
        <w:lang w:eastAsia="en-GB"/>
      </w:rPr>
      <w:drawing>
        <wp:inline distT="0" distB="0" distL="0" distR="0" wp14:anchorId="03FF3DDE" wp14:editId="71F51BBA">
          <wp:extent cx="2013163" cy="685165"/>
          <wp:effectExtent l="0" t="0" r="6350" b="635"/>
          <wp:docPr id="7" name="Picture 7" descr="\\Intranet.ngh.nhs.uk\Users\UserData\Userdata-E-K\Kinsellas\My Documents\Letters &amp; Templates\Dedicated to Excelle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ntranet.ngh.nhs.uk\Users\UserData\Userdata-E-K\Kinsellas\My Documents\Letters &amp; Templates\Dedicated to Excellen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936" cy="70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55E2">
      <w:rPr>
        <w:rFonts w:ascii="Arial" w:eastAsia="Times New Roman" w:hAnsi="Arial" w:cs="Arial"/>
        <w:b/>
        <w:bCs/>
        <w:noProof/>
        <w:sz w:val="32"/>
        <w:szCs w:val="32"/>
        <w:lang w:eastAsia="en-GB"/>
      </w:rPr>
      <w:t xml:space="preserve">                          </w:t>
    </w:r>
    <w:r w:rsidRPr="002A55E2">
      <w:rPr>
        <w:rFonts w:ascii="Arial" w:eastAsia="Times New Roman" w:hAnsi="Arial" w:cs="Arial"/>
        <w:b/>
        <w:bCs/>
        <w:noProof/>
        <w:sz w:val="32"/>
        <w:szCs w:val="32"/>
        <w:lang w:eastAsia="en-GB"/>
      </w:rPr>
      <w:drawing>
        <wp:inline distT="0" distB="0" distL="0" distR="0" wp14:anchorId="6335A39B" wp14:editId="1BD26706">
          <wp:extent cx="2438400" cy="619125"/>
          <wp:effectExtent l="0" t="0" r="0" b="9525"/>
          <wp:docPr id="8" name="Picture 8" descr="New-NG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NGH-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83509" w14:textId="43DADCB2" w:rsidR="00990BD7" w:rsidRPr="002A55E2" w:rsidRDefault="00990BD7" w:rsidP="002A5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24DB" w14:textId="77777777" w:rsidR="0067203E" w:rsidRDefault="00672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73ABF"/>
    <w:multiLevelType w:val="hybridMultilevel"/>
    <w:tmpl w:val="E556C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0196A"/>
    <w:multiLevelType w:val="hybridMultilevel"/>
    <w:tmpl w:val="5A420B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EA24F0"/>
    <w:multiLevelType w:val="hybridMultilevel"/>
    <w:tmpl w:val="5DFE5640"/>
    <w:lvl w:ilvl="0" w:tplc="BF20C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128915">
    <w:abstractNumId w:val="2"/>
  </w:num>
  <w:num w:numId="2" w16cid:durableId="754324681">
    <w:abstractNumId w:val="0"/>
  </w:num>
  <w:num w:numId="3" w16cid:durableId="25528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0A"/>
    <w:rsid w:val="000211D5"/>
    <w:rsid w:val="00032D98"/>
    <w:rsid w:val="000450FE"/>
    <w:rsid w:val="000524B8"/>
    <w:rsid w:val="00084B4E"/>
    <w:rsid w:val="00092761"/>
    <w:rsid w:val="000C055D"/>
    <w:rsid w:val="000C2409"/>
    <w:rsid w:val="000E07C3"/>
    <w:rsid w:val="000E354B"/>
    <w:rsid w:val="000F2D06"/>
    <w:rsid w:val="00101D85"/>
    <w:rsid w:val="00104CE0"/>
    <w:rsid w:val="001532FC"/>
    <w:rsid w:val="001534FE"/>
    <w:rsid w:val="0015483C"/>
    <w:rsid w:val="00154D86"/>
    <w:rsid w:val="00192897"/>
    <w:rsid w:val="001A24B9"/>
    <w:rsid w:val="001C2B43"/>
    <w:rsid w:val="001C4A24"/>
    <w:rsid w:val="001D6B15"/>
    <w:rsid w:val="001E5355"/>
    <w:rsid w:val="001F7F0A"/>
    <w:rsid w:val="002004B2"/>
    <w:rsid w:val="002103BB"/>
    <w:rsid w:val="00217058"/>
    <w:rsid w:val="00237DB8"/>
    <w:rsid w:val="00254134"/>
    <w:rsid w:val="00274062"/>
    <w:rsid w:val="002827F2"/>
    <w:rsid w:val="00285C1A"/>
    <w:rsid w:val="002A55E2"/>
    <w:rsid w:val="002B4831"/>
    <w:rsid w:val="002C40A0"/>
    <w:rsid w:val="002C625E"/>
    <w:rsid w:val="002D4966"/>
    <w:rsid w:val="002E034B"/>
    <w:rsid w:val="002E6894"/>
    <w:rsid w:val="00304A31"/>
    <w:rsid w:val="00330EC4"/>
    <w:rsid w:val="00331F6D"/>
    <w:rsid w:val="00340831"/>
    <w:rsid w:val="00346633"/>
    <w:rsid w:val="00353825"/>
    <w:rsid w:val="00353EB8"/>
    <w:rsid w:val="00363D84"/>
    <w:rsid w:val="003A55EC"/>
    <w:rsid w:val="003A5E73"/>
    <w:rsid w:val="003B0A49"/>
    <w:rsid w:val="003B3C02"/>
    <w:rsid w:val="003C62A2"/>
    <w:rsid w:val="003D02FF"/>
    <w:rsid w:val="003D27A6"/>
    <w:rsid w:val="003E7313"/>
    <w:rsid w:val="003F66F2"/>
    <w:rsid w:val="0040404E"/>
    <w:rsid w:val="00406828"/>
    <w:rsid w:val="00414581"/>
    <w:rsid w:val="00422710"/>
    <w:rsid w:val="00435DC9"/>
    <w:rsid w:val="00441171"/>
    <w:rsid w:val="004660E9"/>
    <w:rsid w:val="00477FF3"/>
    <w:rsid w:val="0048700A"/>
    <w:rsid w:val="00490E78"/>
    <w:rsid w:val="004A0062"/>
    <w:rsid w:val="004A2B7F"/>
    <w:rsid w:val="004A4C0A"/>
    <w:rsid w:val="004C79AE"/>
    <w:rsid w:val="00513073"/>
    <w:rsid w:val="005148D7"/>
    <w:rsid w:val="005239E9"/>
    <w:rsid w:val="00551723"/>
    <w:rsid w:val="00552426"/>
    <w:rsid w:val="005546B4"/>
    <w:rsid w:val="00590CF7"/>
    <w:rsid w:val="005A3D6D"/>
    <w:rsid w:val="005A4F77"/>
    <w:rsid w:val="005C2EEF"/>
    <w:rsid w:val="005D6E08"/>
    <w:rsid w:val="005F2336"/>
    <w:rsid w:val="0063547D"/>
    <w:rsid w:val="006359CF"/>
    <w:rsid w:val="0067203E"/>
    <w:rsid w:val="006855F8"/>
    <w:rsid w:val="00693AA3"/>
    <w:rsid w:val="006A6A3B"/>
    <w:rsid w:val="006A728D"/>
    <w:rsid w:val="006B0F0E"/>
    <w:rsid w:val="006C1798"/>
    <w:rsid w:val="006C2398"/>
    <w:rsid w:val="006C484E"/>
    <w:rsid w:val="006C6C82"/>
    <w:rsid w:val="006D1CDD"/>
    <w:rsid w:val="006D534F"/>
    <w:rsid w:val="006E1698"/>
    <w:rsid w:val="006E1B8E"/>
    <w:rsid w:val="006F2EBC"/>
    <w:rsid w:val="006F62C2"/>
    <w:rsid w:val="007031C6"/>
    <w:rsid w:val="00722869"/>
    <w:rsid w:val="00725229"/>
    <w:rsid w:val="007445C8"/>
    <w:rsid w:val="00747969"/>
    <w:rsid w:val="0076452F"/>
    <w:rsid w:val="007649FB"/>
    <w:rsid w:val="007736D0"/>
    <w:rsid w:val="00791537"/>
    <w:rsid w:val="00796DA0"/>
    <w:rsid w:val="007A0C89"/>
    <w:rsid w:val="007C1297"/>
    <w:rsid w:val="007E41C1"/>
    <w:rsid w:val="007E770D"/>
    <w:rsid w:val="0080355C"/>
    <w:rsid w:val="008118F9"/>
    <w:rsid w:val="008635BD"/>
    <w:rsid w:val="008735EC"/>
    <w:rsid w:val="008770B6"/>
    <w:rsid w:val="0088321C"/>
    <w:rsid w:val="008C441C"/>
    <w:rsid w:val="008F0559"/>
    <w:rsid w:val="0091434D"/>
    <w:rsid w:val="00920BA8"/>
    <w:rsid w:val="00930A6C"/>
    <w:rsid w:val="00937337"/>
    <w:rsid w:val="00947609"/>
    <w:rsid w:val="00947D14"/>
    <w:rsid w:val="00952DE5"/>
    <w:rsid w:val="00955E38"/>
    <w:rsid w:val="00960254"/>
    <w:rsid w:val="0097090D"/>
    <w:rsid w:val="009814FF"/>
    <w:rsid w:val="00990BD7"/>
    <w:rsid w:val="009926CC"/>
    <w:rsid w:val="00997944"/>
    <w:rsid w:val="009A67F6"/>
    <w:rsid w:val="009E0076"/>
    <w:rsid w:val="00A02E5C"/>
    <w:rsid w:val="00A05368"/>
    <w:rsid w:val="00A129BF"/>
    <w:rsid w:val="00A20755"/>
    <w:rsid w:val="00A531D0"/>
    <w:rsid w:val="00A56AFC"/>
    <w:rsid w:val="00A93B90"/>
    <w:rsid w:val="00AD081F"/>
    <w:rsid w:val="00AD4003"/>
    <w:rsid w:val="00AF407E"/>
    <w:rsid w:val="00B01A3F"/>
    <w:rsid w:val="00B10768"/>
    <w:rsid w:val="00B206F4"/>
    <w:rsid w:val="00B215B8"/>
    <w:rsid w:val="00B311F4"/>
    <w:rsid w:val="00B32EFB"/>
    <w:rsid w:val="00B37D2A"/>
    <w:rsid w:val="00B54C00"/>
    <w:rsid w:val="00B55665"/>
    <w:rsid w:val="00B64BD3"/>
    <w:rsid w:val="00B75E74"/>
    <w:rsid w:val="00B8147F"/>
    <w:rsid w:val="00B82CCB"/>
    <w:rsid w:val="00B87F78"/>
    <w:rsid w:val="00BD45DB"/>
    <w:rsid w:val="00BD734B"/>
    <w:rsid w:val="00C06203"/>
    <w:rsid w:val="00C13AAE"/>
    <w:rsid w:val="00C200FE"/>
    <w:rsid w:val="00C20142"/>
    <w:rsid w:val="00C247DC"/>
    <w:rsid w:val="00C34001"/>
    <w:rsid w:val="00C45652"/>
    <w:rsid w:val="00C75A0B"/>
    <w:rsid w:val="00C82F50"/>
    <w:rsid w:val="00C83311"/>
    <w:rsid w:val="00CA15F0"/>
    <w:rsid w:val="00CE45E7"/>
    <w:rsid w:val="00CF706D"/>
    <w:rsid w:val="00D15CC3"/>
    <w:rsid w:val="00D26A33"/>
    <w:rsid w:val="00D523CF"/>
    <w:rsid w:val="00D54D9C"/>
    <w:rsid w:val="00D54DA9"/>
    <w:rsid w:val="00D70754"/>
    <w:rsid w:val="00D8101D"/>
    <w:rsid w:val="00D81063"/>
    <w:rsid w:val="00D86CC6"/>
    <w:rsid w:val="00D87EFA"/>
    <w:rsid w:val="00D91139"/>
    <w:rsid w:val="00DA505D"/>
    <w:rsid w:val="00DD01F8"/>
    <w:rsid w:val="00DD1B67"/>
    <w:rsid w:val="00DF264F"/>
    <w:rsid w:val="00E012E9"/>
    <w:rsid w:val="00E0145D"/>
    <w:rsid w:val="00E15D42"/>
    <w:rsid w:val="00E259A3"/>
    <w:rsid w:val="00E30031"/>
    <w:rsid w:val="00E333BF"/>
    <w:rsid w:val="00E361F4"/>
    <w:rsid w:val="00E44C77"/>
    <w:rsid w:val="00E52843"/>
    <w:rsid w:val="00E66AA7"/>
    <w:rsid w:val="00E8583F"/>
    <w:rsid w:val="00E95615"/>
    <w:rsid w:val="00ED27BC"/>
    <w:rsid w:val="00ED6ED3"/>
    <w:rsid w:val="00F062A7"/>
    <w:rsid w:val="00F330F8"/>
    <w:rsid w:val="00F5020C"/>
    <w:rsid w:val="00F573AB"/>
    <w:rsid w:val="00F72FA0"/>
    <w:rsid w:val="00F87E45"/>
    <w:rsid w:val="00FB1095"/>
    <w:rsid w:val="00FE5E37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FD9678E"/>
  <w15:docId w15:val="{C37D5B7B-9ED9-4211-9070-649BFF75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2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82"/>
  </w:style>
  <w:style w:type="paragraph" w:styleId="Footer">
    <w:name w:val="footer"/>
    <w:basedOn w:val="Normal"/>
    <w:link w:val="Foot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82"/>
  </w:style>
  <w:style w:type="character" w:styleId="CommentReference">
    <w:name w:val="annotation reference"/>
    <w:basedOn w:val="DefaultParagraphFont"/>
    <w:uiPriority w:val="99"/>
    <w:semiHidden/>
    <w:unhideWhenUsed/>
    <w:rsid w:val="001E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35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7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link w:val="DefaultChar"/>
    <w:uiPriority w:val="99"/>
    <w:rsid w:val="009709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uiPriority w:val="99"/>
    <w:locked/>
    <w:rsid w:val="0097090D"/>
    <w:rPr>
      <w:rFonts w:ascii="Arial" w:eastAsia="Times New Roman" w:hAnsi="Arial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FC6A-9FCF-4C71-AC6C-12A111943D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dept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Kinsella, Sarah - Human Resources</dc:creator>
  <cp:lastModifiedBy>KINSELLA, Sarah (UNIVERSITY HOSPITALS OF NORTHAMPTONSHIRE - RNS)</cp:lastModifiedBy>
  <cp:revision>11</cp:revision>
  <cp:lastPrinted>2022-07-12T11:12:00Z</cp:lastPrinted>
  <dcterms:created xsi:type="dcterms:W3CDTF">2025-04-15T11:16:00Z</dcterms:created>
  <dcterms:modified xsi:type="dcterms:W3CDTF">2025-06-09T13:37:00Z</dcterms:modified>
</cp:coreProperties>
</file>